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eastAsia"/>
        </w:rPr>
      </w:pPr>
      <w:r>
        <w:rPr>
          <w:rFonts w:hint="eastAsia"/>
          <w:lang w:val="en-US" w:eastAsia="zh-CN"/>
        </w:rPr>
        <w:t>采购需求</w:t>
      </w:r>
      <w:bookmarkStart w:id="4" w:name="_GoBack"/>
      <w:bookmarkEnd w:id="4"/>
    </w:p>
    <w:p>
      <w:pPr>
        <w:widowControl/>
        <w:spacing w:line="360" w:lineRule="auto"/>
        <w:jc w:val="left"/>
        <w:outlineLvl w:val="0"/>
        <w:rPr>
          <w:rFonts w:hint="eastAsia" w:ascii="仿宋" w:hAnsi="仿宋" w:eastAsia="仿宋" w:cs="仿宋"/>
          <w:color w:val="auto"/>
          <w:sz w:val="28"/>
          <w:szCs w:val="28"/>
          <w:highlight w:val="none"/>
        </w:rPr>
      </w:pPr>
      <w:r>
        <w:rPr>
          <w:rFonts w:hint="eastAsia" w:ascii="仿宋" w:hAnsi="仿宋" w:eastAsia="仿宋" w:cs="仿宋"/>
          <w:b/>
          <w:bCs/>
          <w:color w:val="auto"/>
          <w:kern w:val="0"/>
          <w:sz w:val="28"/>
          <w:szCs w:val="28"/>
          <w:highlight w:val="none"/>
        </w:rPr>
        <w:t xml:space="preserve">一、项目概况 </w:t>
      </w:r>
    </w:p>
    <w:p>
      <w:pPr>
        <w:widowControl/>
        <w:spacing w:line="360" w:lineRule="auto"/>
        <w:ind w:firstLine="480" w:firstLineChars="200"/>
        <w:jc w:val="left"/>
        <w:textAlignment w:val="center"/>
        <w:rPr>
          <w:rFonts w:hint="eastAsia" w:ascii="仿宋" w:hAnsi="仿宋" w:eastAsia="仿宋" w:cs="仿宋"/>
          <w:color w:val="auto"/>
          <w:kern w:val="0"/>
          <w:sz w:val="24"/>
          <w:szCs w:val="24"/>
          <w:highlight w:val="none"/>
          <w:lang w:bidi="ar"/>
        </w:rPr>
      </w:pPr>
      <w:r>
        <w:rPr>
          <w:rFonts w:hint="eastAsia" w:ascii="仿宋" w:hAnsi="仿宋" w:eastAsia="仿宋" w:cs="仿宋"/>
          <w:color w:val="auto"/>
          <w:kern w:val="0"/>
          <w:sz w:val="24"/>
          <w:szCs w:val="24"/>
          <w:highlight w:val="none"/>
          <w:lang w:bidi="ar"/>
        </w:rPr>
        <w:t>为确保学校消防设施正常运行，保障学院的人身财产安全。提高现代消防系统抗御火灾的能力，保障四川艺术职业学院（温江校区、武侯校区）消防系统发挥正常功能，使整个维保工作系统化、规范化，使整个系统始终处于良好的运行状态，四川艺术职业学院拟对所有消防设施设备进行维护保养服务。</w:t>
      </w:r>
      <w:r>
        <w:rPr>
          <w:rFonts w:hint="eastAsia" w:ascii="仿宋" w:hAnsi="仿宋" w:eastAsia="仿宋" w:cs="仿宋"/>
          <w:color w:val="auto"/>
          <w:kern w:val="0"/>
          <w:sz w:val="24"/>
          <w:szCs w:val="24"/>
          <w:highlight w:val="none"/>
          <w:lang w:bidi="ar"/>
        </w:rPr>
        <w:br w:type="textWrapping"/>
      </w:r>
      <w:r>
        <w:rPr>
          <w:rFonts w:hint="eastAsia" w:ascii="仿宋" w:hAnsi="仿宋" w:eastAsia="仿宋" w:cs="仿宋"/>
          <w:color w:val="auto"/>
          <w:kern w:val="0"/>
          <w:sz w:val="24"/>
          <w:szCs w:val="24"/>
          <w:highlight w:val="none"/>
          <w:lang w:bidi="ar"/>
        </w:rPr>
        <w:t xml:space="preserve">    依据《建筑设计防火规范》GB50016-2006、《火灾自动报警系统施工及验收规范》、GB50166-98、《建筑消防设施的维护管理》（GB25201-2010）、《中华人民共和国消防法》。</w:t>
      </w:r>
    </w:p>
    <w:p>
      <w:pPr>
        <w:pStyle w:val="3"/>
        <w:spacing w:before="0" w:after="0" w:line="360" w:lineRule="auto"/>
        <w:rPr>
          <w:rFonts w:hint="eastAsia" w:ascii="仿宋" w:hAnsi="仿宋" w:eastAsia="仿宋" w:cs="仿宋"/>
          <w:color w:val="auto"/>
          <w:sz w:val="28"/>
          <w:szCs w:val="28"/>
          <w:highlight w:val="none"/>
        </w:rPr>
      </w:pPr>
      <w:bookmarkStart w:id="0" w:name="_Toc25816"/>
      <w:bookmarkStart w:id="1" w:name="_Toc23687"/>
      <w:bookmarkStart w:id="2" w:name="_Hlk103989427"/>
      <w:r>
        <w:rPr>
          <w:rFonts w:hint="eastAsia" w:ascii="仿宋" w:hAnsi="仿宋" w:eastAsia="仿宋" w:cs="仿宋"/>
          <w:color w:val="auto"/>
          <w:sz w:val="28"/>
          <w:szCs w:val="28"/>
          <w:highlight w:val="none"/>
        </w:rPr>
        <w:t>二、技术、服务及要求</w:t>
      </w:r>
      <w:bookmarkEnd w:id="0"/>
    </w:p>
    <w:bookmarkEnd w:id="1"/>
    <w:bookmarkEnd w:id="2"/>
    <w:p>
      <w:pPr>
        <w:pStyle w:val="7"/>
        <w:snapToGrid w:val="0"/>
        <w:spacing w:line="360" w:lineRule="auto"/>
        <w:ind w:firstLine="482" w:firstLineChars="200"/>
        <w:rPr>
          <w:rFonts w:hint="eastAsia" w:ascii="仿宋" w:hAnsi="仿宋" w:eastAsia="仿宋" w:cs="仿宋"/>
          <w:b/>
          <w:bCs/>
          <w:color w:val="auto"/>
          <w:sz w:val="24"/>
          <w:highlight w:val="none"/>
        </w:rPr>
      </w:pPr>
      <w:bookmarkStart w:id="3" w:name="_Toc12506"/>
      <w:r>
        <w:rPr>
          <w:rFonts w:hint="eastAsia" w:ascii="仿宋" w:hAnsi="仿宋" w:eastAsia="仿宋" w:cs="仿宋"/>
          <w:b/>
          <w:bCs/>
          <w:color w:val="auto"/>
          <w:sz w:val="24"/>
          <w:highlight w:val="none"/>
        </w:rPr>
        <w:t>1、维保项目</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（1）火灾自动报警及联动控制系统；</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（2）防排烟联动系统；</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（3）消防电话、消防广播系统；</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（4）应急照明及疏散指示系统；</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（5）室内外消火栓灭火系统；</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（6）防火隔断系统(防火卷帘门、防火门)；</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（7）湿式报警装置；</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（8）防火门监控系统；</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（9）喷淋泵控制盘、喷淋泵；</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（10）消防漏电检测系统；</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（11）七氟丙烷气体灭火系统；</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（12）所有楼宇及公共场所的消防设施设备（室内外消火栓、应急照明系统、疏散指示标志、灭火器等）。</w:t>
      </w:r>
    </w:p>
    <w:p>
      <w:pPr>
        <w:pStyle w:val="7"/>
        <w:snapToGrid w:val="0"/>
        <w:spacing w:line="360" w:lineRule="auto"/>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2、维保要求</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所有楼宇室内外消火栓系统、应急照明系统、疏散指示标志、灭火器等以上系统的日常保养和年度检修，确保消防系统的正常运转，在突发事件中发挥报警、疏散、灭火的作用；注：成交供应商严格执行国家及四川省关于建筑消防设施维护管理的有关规定，负责测试检查、检验检查和不定期检查，坚持周检、月检及季检联动试验，每次检查过程要有采购人相关工作人员陪同，检查完毕出具检查结论，采购人及成交供应商签字确认，检查记录作为后续资金给付的依据。</w:t>
      </w:r>
    </w:p>
    <w:p>
      <w:pPr>
        <w:pStyle w:val="7"/>
        <w:snapToGrid w:val="0"/>
        <w:spacing w:line="360" w:lineRule="auto"/>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3、定期检测</w:t>
      </w:r>
    </w:p>
    <w:p>
      <w:pPr>
        <w:pStyle w:val="7"/>
        <w:snapToGrid w:val="0"/>
        <w:spacing w:line="360" w:lineRule="auto"/>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3.1 火灾自动报警系统</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（1）每月对火灾探测器运行状态的检查测试：抽取数量不少于总数10%的火灾探测器试验报警功能，年内全部测试一遍。</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联动控制系统的检查：除对电缆、设备等作直观检查外，还需对防排烟系统及防火卷帘系统单项进行实效模拟试验，保证设备手动/自动启动、停止功能正常，无异常振动与声响，对有故障的设备及时进行检修。</w:t>
      </w:r>
    </w:p>
    <w:p>
      <w:pPr>
        <w:pStyle w:val="7"/>
        <w:snapToGrid w:val="0"/>
        <w:spacing w:line="360" w:lineRule="auto"/>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3.2 消防给水系统</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消火栓箱进行全面检查维修，保证消火栓和消防卷盘供水闸阀不渗水，水枪、水带等附件齐全良好。室内消火栓起泵报警按钮及控制线路功能正常。消防水泵外观完好，消防水泵正常启动，设备无异常振动与声响，出水压力符合设计要求。检查室外消火栓及水泵接合器各部位有无锈蚀现象，工作是否正常，每季度涂抹黄油及半年一次进行涂漆等。</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bCs/>
          <w:color w:val="auto"/>
          <w:sz w:val="24"/>
          <w:highlight w:val="none"/>
        </w:rPr>
        <w:t>3.3 消防电话、消防广播系统</w:t>
      </w:r>
    </w:p>
    <w:p>
      <w:pPr>
        <w:pStyle w:val="6"/>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除对消防电话插孔、消防广播等作直观检查外，还需对消防广播进行放音试验，对消防电话进行主机对分机、分机对主机的通话试验。</w:t>
      </w:r>
    </w:p>
    <w:p>
      <w:pPr>
        <w:pStyle w:val="6"/>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每月抽取不少于总数10%的消防电话和电话插孔在消防控制室进行对讲通话试验，年内全部测试一遍，保证通话音质清晰。</w:t>
      </w:r>
    </w:p>
    <w:p>
      <w:pPr>
        <w:pStyle w:val="6"/>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消防广播除对扩音机外观和工作状态进行检查测试外，还应检查扬声器的外观，测量音量、音质，以及检查主备电自动转换、选层控制、合用广播强行切换功能。</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bCs/>
          <w:color w:val="auto"/>
          <w:sz w:val="24"/>
          <w:highlight w:val="none"/>
        </w:rPr>
        <w:t>3.4 应急照明系统</w:t>
      </w:r>
    </w:p>
    <w:p>
      <w:pPr>
        <w:pStyle w:val="6"/>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对应急照明灯外观和工作状态的检查：牢固、无遮挡，状态指示灯是否正常。测试照度，电源切换、充电、放电功能。切断正常供电电源后，应急工作状态的持续时间应符合现行规范。</w:t>
      </w:r>
    </w:p>
    <w:p>
      <w:pPr>
        <w:pStyle w:val="7"/>
        <w:snapToGrid w:val="0"/>
        <w:spacing w:line="360" w:lineRule="auto"/>
        <w:ind w:firstLine="472" w:firstLineChars="196"/>
        <w:rPr>
          <w:rFonts w:hint="eastAsia" w:ascii="仿宋" w:hAnsi="仿宋" w:eastAsia="仿宋" w:cs="仿宋"/>
          <w:color w:val="auto"/>
          <w:sz w:val="24"/>
          <w:highlight w:val="none"/>
        </w:rPr>
      </w:pPr>
      <w:r>
        <w:rPr>
          <w:rFonts w:hint="eastAsia" w:ascii="仿宋" w:hAnsi="仿宋" w:eastAsia="仿宋" w:cs="仿宋"/>
          <w:b/>
          <w:bCs/>
          <w:color w:val="auto"/>
          <w:sz w:val="24"/>
          <w:highlight w:val="none"/>
        </w:rPr>
        <w:t>3.5 室外消火栓泵、室内消火栓泵、喷淋泵、湿式报警装置</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对室内消火栓泵、室外消火栓泵、消防喷淋泵的检查：外观完好，阀门开启灵活，进水管控制阀门处于全开启状态，对启停方式的手动、自动及远程启动和水泵的故障自动切换功能是否完好。</w:t>
      </w:r>
    </w:p>
    <w:p>
      <w:pPr>
        <w:pStyle w:val="7"/>
        <w:snapToGrid w:val="0"/>
        <w:spacing w:line="360" w:lineRule="auto"/>
        <w:ind w:firstLine="600" w:firstLineChars="250"/>
        <w:rPr>
          <w:rFonts w:hint="eastAsia" w:ascii="仿宋" w:hAnsi="仿宋" w:eastAsia="仿宋" w:cs="仿宋"/>
          <w:color w:val="auto"/>
          <w:sz w:val="24"/>
          <w:highlight w:val="none"/>
        </w:rPr>
      </w:pPr>
      <w:r>
        <w:rPr>
          <w:rFonts w:hint="eastAsia" w:ascii="仿宋" w:hAnsi="仿宋" w:eastAsia="仿宋" w:cs="仿宋"/>
          <w:color w:val="auto"/>
          <w:sz w:val="24"/>
          <w:highlight w:val="none"/>
        </w:rPr>
        <w:t>对湿式报警阀组的检查：外观完好，标志清晰正确；报警阀的压力表显示符合设定值；平时对报警阀组的工作状态和报警阀延时器有无出水。放水试验时延迟器自动排水；打开试验阀门的放水，安装延迟器的在5S~90S内警铃开始连续报警，警铃声响不小于70dB;压力开关动作，消防水泵正常启动，消防控制设备及联动控制装置正确显示。</w:t>
      </w:r>
    </w:p>
    <w:p>
      <w:pPr>
        <w:pStyle w:val="7"/>
        <w:snapToGrid w:val="0"/>
        <w:spacing w:line="360" w:lineRule="auto"/>
        <w:ind w:firstLine="472" w:firstLineChars="196"/>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3.6其它设施设备</w:t>
      </w:r>
    </w:p>
    <w:p>
      <w:pPr>
        <w:pStyle w:val="7"/>
        <w:snapToGrid w:val="0"/>
        <w:spacing w:line="360" w:lineRule="auto"/>
        <w:ind w:firstLine="480" w:firstLineChars="200"/>
        <w:rPr>
          <w:rFonts w:hint="eastAsia" w:ascii="仿宋" w:hAnsi="仿宋" w:eastAsia="仿宋" w:cs="仿宋"/>
          <w:b/>
          <w:bCs/>
          <w:color w:val="auto"/>
          <w:sz w:val="24"/>
          <w:highlight w:val="none"/>
        </w:rPr>
      </w:pPr>
      <w:r>
        <w:rPr>
          <w:rFonts w:hint="eastAsia" w:ascii="仿宋" w:hAnsi="仿宋" w:eastAsia="仿宋" w:cs="仿宋"/>
          <w:color w:val="auto"/>
          <w:sz w:val="24"/>
          <w:highlight w:val="none"/>
        </w:rPr>
        <w:t>应急照明、疏散指示标志、灭火器、防火卷帘门、消防电梯、消防供电、电源监控、防火门监控、电气火灾系统、备用柴油发电机组等内容定期巡检。巡查项目符合现行行业规范。</w:t>
      </w:r>
      <w:r>
        <w:rPr>
          <w:rFonts w:hint="eastAsia" w:ascii="仿宋" w:hAnsi="仿宋" w:eastAsia="仿宋" w:cs="仿宋"/>
          <w:color w:val="auto"/>
          <w:sz w:val="24"/>
          <w:highlight w:val="none"/>
        </w:rPr>
        <w:cr/>
      </w:r>
      <w:r>
        <w:rPr>
          <w:rFonts w:hint="eastAsia" w:ascii="仿宋" w:hAnsi="仿宋" w:eastAsia="仿宋" w:cs="仿宋"/>
          <w:b/>
          <w:bCs/>
          <w:color w:val="auto"/>
          <w:sz w:val="24"/>
          <w:highlight w:val="none"/>
        </w:rPr>
        <w:t xml:space="preserve">   4、不定期检查</w:t>
      </w:r>
    </w:p>
    <w:p>
      <w:pPr>
        <w:pStyle w:val="7"/>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成交供应商除以上时间段定期检查外，还要不定期（每月不少于2次）对系统运行情况进行巡检，通过手动检查各类装置的运行情况；检查火灾报警控制器报警、故障、设备启动显示、反馈及主机功能是否正常；检查应急灯有无损坏；进行主备电源自动转换试验；检查广播系统的通话效果及扬声器分贝；检查自动灭火系统有效性；检查消防通道是否畅通；检查室内外消火栓的供水及灭火器是否正常及消防水池和消防水箱外观及蓄水量等。各项目均符合国家有关技术标准。每次检查必须形成检查记录并签字盖章后报采购人保卫处及分管消防的相关部门。</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bCs/>
          <w:color w:val="auto"/>
          <w:sz w:val="24"/>
          <w:highlight w:val="none"/>
        </w:rPr>
        <w:t>5、故障处置时间</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发现建筑消防设施存在问题和故障，成交供应商应立即确认故障并在 24 小时内排除故障隐患，对于不能及时排除的隐患并提出整改意见应在 5 个工作日内处理、解决，恢复正常状态。</w:t>
      </w:r>
    </w:p>
    <w:p>
      <w:pPr>
        <w:pStyle w:val="7"/>
        <w:snapToGrid w:val="0"/>
        <w:spacing w:line="360" w:lineRule="auto"/>
        <w:ind w:firstLine="241" w:firstLineChars="1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6、建立系统维保档案</w:t>
      </w:r>
    </w:p>
    <w:p>
      <w:pPr>
        <w:pStyle w:val="7"/>
        <w:snapToGrid w:val="0"/>
        <w:spacing w:line="360" w:lineRule="auto"/>
        <w:ind w:firstLine="480" w:firstLineChars="200"/>
        <w:rPr>
          <w:rFonts w:hint="eastAsia" w:ascii="仿宋" w:hAnsi="仿宋" w:eastAsia="仿宋" w:cs="仿宋"/>
          <w:b/>
          <w:bCs/>
          <w:color w:val="auto"/>
          <w:sz w:val="24"/>
          <w:highlight w:val="none"/>
        </w:rPr>
      </w:pPr>
      <w:r>
        <w:rPr>
          <w:rFonts w:hint="eastAsia" w:ascii="仿宋" w:hAnsi="仿宋" w:eastAsia="仿宋" w:cs="仿宋"/>
          <w:color w:val="auto"/>
          <w:sz w:val="24"/>
          <w:highlight w:val="none"/>
        </w:rPr>
        <w:t>成交供应商对定期与不定期开展的维保要有表格记录，对每次维保或不定期检查中的项目进行登记，包括：检查情况、处置情况、处置结果等内容。同时成交供应商还应配合、协助采购人建立完善的档案体系。</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bCs/>
          <w:color w:val="auto"/>
          <w:sz w:val="24"/>
          <w:highlight w:val="none"/>
        </w:rPr>
        <w:t>7、 检查时间及要求</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color w:val="auto"/>
          <w:sz w:val="24"/>
          <w:highlight w:val="none"/>
        </w:rPr>
        <w:t>7.1对采购人校区内各楼宇进行通道及消防设施的检查并做好记录备案</w:t>
      </w:r>
      <w:r>
        <w:rPr>
          <w:rFonts w:hint="eastAsia" w:ascii="仿宋" w:hAnsi="仿宋" w:eastAsia="仿宋" w:cs="仿宋"/>
          <w:color w:val="auto"/>
          <w:sz w:val="24"/>
          <w:highlight w:val="none"/>
        </w:rPr>
        <w:t>。</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color w:val="auto"/>
          <w:sz w:val="24"/>
          <w:highlight w:val="none"/>
        </w:rPr>
        <w:t>7.2 分月检、季检、半年检和年检。</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（1）每半月进行一次检查。要求对采购人所有消防设施、设备进行巡检，每 半月巡检一次并形成检查记录，如果发现问题第一时间处理。</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（2）月检、季检、半年检和年检要对所有设施设备进行测试，并出具测试报告。</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bCs/>
          <w:color w:val="auto"/>
          <w:sz w:val="24"/>
          <w:highlight w:val="none"/>
        </w:rPr>
        <w:t>8、其他要求</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color w:val="auto"/>
          <w:sz w:val="24"/>
          <w:highlight w:val="none"/>
        </w:rPr>
        <w:t>8.1</w:t>
      </w:r>
      <w:r>
        <w:rPr>
          <w:rFonts w:hint="eastAsia" w:ascii="仿宋" w:hAnsi="仿宋" w:eastAsia="仿宋" w:cs="仿宋"/>
          <w:color w:val="auto"/>
          <w:sz w:val="24"/>
          <w:highlight w:val="none"/>
        </w:rPr>
        <w:t>施设备的完好率和更换频次将纳入项目履约考核，具体考核条款详见本章附件《消防维保质量检查内容及考核评分表》。</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color w:val="auto"/>
          <w:sz w:val="24"/>
          <w:highlight w:val="none"/>
        </w:rPr>
        <w:t xml:space="preserve"> 8.2 </w:t>
      </w:r>
      <w:r>
        <w:rPr>
          <w:rFonts w:hint="eastAsia" w:ascii="仿宋" w:hAnsi="仿宋" w:eastAsia="仿宋" w:cs="仿宋"/>
          <w:color w:val="auto"/>
          <w:sz w:val="24"/>
          <w:highlight w:val="none"/>
        </w:rPr>
        <w:t>每年 3 月、9 月分别对消火栓设施进行防锈处理。</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color w:val="auto"/>
          <w:sz w:val="24"/>
          <w:highlight w:val="none"/>
        </w:rPr>
        <w:t>8.3</w:t>
      </w:r>
      <w:r>
        <w:rPr>
          <w:rFonts w:hint="eastAsia" w:ascii="仿宋" w:hAnsi="仿宋" w:eastAsia="仿宋" w:cs="仿宋"/>
          <w:color w:val="auto"/>
          <w:sz w:val="24"/>
          <w:highlight w:val="none"/>
        </w:rPr>
        <w:t xml:space="preserve"> 成交供应商月检、季检、半年检、年检的测试报告以及设备维修的维修清单，由采购人保卫处工作人员签字确认，并作为给付维保费用的依据。</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color w:val="auto"/>
          <w:sz w:val="24"/>
          <w:highlight w:val="none"/>
        </w:rPr>
        <w:t>8.4</w:t>
      </w:r>
      <w:r>
        <w:rPr>
          <w:rFonts w:hint="eastAsia" w:ascii="仿宋" w:hAnsi="仿宋" w:eastAsia="仿宋" w:cs="仿宋"/>
          <w:color w:val="auto"/>
          <w:sz w:val="24"/>
          <w:highlight w:val="none"/>
        </w:rPr>
        <w:t xml:space="preserve"> 成交供应商需尽到配合采购人完善施工方案的义务。</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color w:val="auto"/>
          <w:sz w:val="24"/>
          <w:highlight w:val="none"/>
        </w:rPr>
        <w:t>8.5</w:t>
      </w:r>
      <w:r>
        <w:rPr>
          <w:rFonts w:hint="eastAsia" w:ascii="仿宋" w:hAnsi="仿宋" w:eastAsia="仿宋" w:cs="仿宋"/>
          <w:color w:val="auto"/>
          <w:sz w:val="24"/>
          <w:highlight w:val="none"/>
        </w:rPr>
        <w:t xml:space="preserve"> 成交供应商在维保过程中需配合采购人完成部分设施设备的零星维修。</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color w:val="auto"/>
          <w:sz w:val="24"/>
          <w:highlight w:val="none"/>
        </w:rPr>
        <w:t>8.6</w:t>
      </w:r>
      <w:r>
        <w:rPr>
          <w:rFonts w:hint="eastAsia" w:ascii="仿宋" w:hAnsi="仿宋" w:eastAsia="仿宋" w:cs="仿宋"/>
          <w:color w:val="auto"/>
          <w:sz w:val="24"/>
          <w:highlight w:val="none"/>
        </w:rPr>
        <w:t xml:space="preserve"> 在本次维保的设施设备或相关内容出现故障时，成交供应商须立即安排2名及以上持有消防中级</w:t>
      </w:r>
      <w:r>
        <w:rPr>
          <w:rFonts w:hint="eastAsia" w:ascii="仿宋" w:hAnsi="仿宋" w:eastAsia="仿宋" w:cs="仿宋"/>
          <w:color w:val="auto"/>
          <w:sz w:val="24"/>
          <w:highlight w:val="none"/>
          <w:lang w:eastAsia="zh-CN"/>
        </w:rPr>
        <w:t>及以上</w:t>
      </w:r>
      <w:r>
        <w:rPr>
          <w:rFonts w:hint="eastAsia" w:ascii="仿宋" w:hAnsi="仿宋" w:eastAsia="仿宋" w:cs="仿宋"/>
          <w:color w:val="auto"/>
          <w:sz w:val="24"/>
          <w:highlight w:val="none"/>
        </w:rPr>
        <w:t xml:space="preserve">资格证书的专业技术人员，前往故障所在地进行排查处理，成交供应商须在接到通知后 2小时内到达现场。 </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color w:val="auto"/>
          <w:sz w:val="24"/>
          <w:highlight w:val="none"/>
        </w:rPr>
        <w:t>8.7</w:t>
      </w:r>
      <w:r>
        <w:rPr>
          <w:rFonts w:hint="eastAsia" w:ascii="仿宋" w:hAnsi="仿宋" w:eastAsia="仿宋" w:cs="仿宋"/>
          <w:color w:val="auto"/>
          <w:sz w:val="24"/>
          <w:highlight w:val="none"/>
        </w:rPr>
        <w:t xml:space="preserve"> 成交供应商须在本项目的维保区域放置消防维保专用的设备仪器及器材，以便于采购人或成交供应商遇到紧急情况时可立即进行处理。</w:t>
      </w:r>
      <w:r>
        <w:rPr>
          <w:rFonts w:hint="eastAsia" w:ascii="仿宋" w:hAnsi="仿宋" w:eastAsia="仿宋" w:cs="仿宋"/>
          <w:color w:val="auto"/>
          <w:sz w:val="24"/>
          <w:highlight w:val="none"/>
        </w:rPr>
        <w:cr/>
      </w:r>
      <w:r>
        <w:rPr>
          <w:rFonts w:hint="eastAsia" w:ascii="仿宋" w:hAnsi="仿宋" w:eastAsia="仿宋" w:cs="仿宋"/>
          <w:color w:val="auto"/>
          <w:sz w:val="24"/>
          <w:highlight w:val="none"/>
        </w:rPr>
        <w:t xml:space="preserve">    </w:t>
      </w:r>
      <w:r>
        <w:rPr>
          <w:rFonts w:hint="eastAsia" w:ascii="仿宋" w:hAnsi="仿宋" w:eastAsia="仿宋" w:cs="仿宋"/>
          <w:b/>
          <w:bCs/>
          <w:color w:val="auto"/>
          <w:sz w:val="24"/>
          <w:highlight w:val="none"/>
        </w:rPr>
        <w:t>9、★维护保养项目清单</w:t>
      </w:r>
    </w:p>
    <w:tbl>
      <w:tblPr>
        <w:tblStyle w:val="10"/>
        <w:tblW w:w="98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1"/>
        <w:gridCol w:w="6514"/>
        <w:gridCol w:w="834"/>
        <w:gridCol w:w="1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序号</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项目名称</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单位</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热气溶胶自动灭火装置</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台</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柜式无管网七氟丙烷灭火系统</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成品消防水箱18立方</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台</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地上式消火栓</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电动液位控制闸阀</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6</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电话主机</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7</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蝶阀</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8</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防火卷闸门（甲级）（特级）</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平方</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9</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放气门灯</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10</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复合探测器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11</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感温探测器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12</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感烟探测器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只</w:t>
            </w:r>
          </w:p>
        </w:tc>
        <w:tc>
          <w:tcPr>
            <w:tcW w:w="1502" w:type="dxa"/>
            <w:noWrap w:val="0"/>
            <w:vAlign w:val="top"/>
          </w:tcPr>
          <w:p>
            <w:pPr>
              <w:pStyle w:val="7"/>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13</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广播</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14</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火灾报警控制器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台</w:t>
            </w:r>
          </w:p>
        </w:tc>
        <w:tc>
          <w:tcPr>
            <w:tcW w:w="1502" w:type="dxa"/>
            <w:noWrap w:val="0"/>
            <w:vAlign w:val="top"/>
          </w:tcPr>
          <w:p>
            <w:pPr>
              <w:pStyle w:val="7"/>
              <w:spacing w:line="360" w:lineRule="auto"/>
              <w:ind w:firstLine="720" w:firstLineChars="300"/>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15</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集热盘</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16</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卷闸电动装置</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17</w:t>
            </w:r>
          </w:p>
        </w:tc>
        <w:tc>
          <w:tcPr>
            <w:tcW w:w="6514" w:type="dxa"/>
            <w:noWrap w:val="0"/>
            <w:vAlign w:val="top"/>
          </w:tcPr>
          <w:p>
            <w:pPr>
              <w:pStyle w:val="7"/>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灭火剂储瓶容积</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18</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灭火器放置箱（2个2公斤磷酸铵盐干粉灭火器）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19</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灭火器放置箱（2个3公斤磷酸铵盐干粉灭火器）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灭火器放置箱（2个4公斤磷酸铵盐干粉灭火器）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21</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灭火器放置箱（3个ABC4公斤磷酸铵盐干粉灭火器）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22</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灭火器放置箱（3个3公斤磷酸铵盐干粉灭火器）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23</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灭火器放置箱（4个FM3A灭火器）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24</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灭火器放置箱（4个MF/ABC灭火器）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25</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喷淋泵</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台</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26</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喷淋泵控制盘</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27</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喷头</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28</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声光报警器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29</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湿式报警阀</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30</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湿式报警装置</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31</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室内消火栓</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32</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试水阀</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33</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实验消火栓</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34</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手动报警按钮</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35</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水泵接合器阀门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36</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水力警铃（带延时器和压力开关）</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37</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水流指示器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38</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消防电话机</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部</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39</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消防短路隔离模块</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40</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消防广播扬声器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台</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41</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消防联动控制器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台</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42</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消防联动控制器（主控）</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台</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43</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消防闪光报警装置</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44</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消防声光报警装置</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45</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消防栓起泵</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46</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消防水泵接合器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47</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消防自动水喷头</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48</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消火栓按钮</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49</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消火栓泵</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台</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50</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消火栓泵控制盘</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51</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自动排气阀</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52</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消防泵</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台</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53</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消防漏电检测系统</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54</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火灾报警器</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套</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55</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疏散指示灯</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56</w:t>
            </w:r>
          </w:p>
        </w:tc>
        <w:tc>
          <w:tcPr>
            <w:tcW w:w="6514" w:type="dxa"/>
            <w:noWrap w:val="0"/>
            <w:vAlign w:val="top"/>
          </w:tcPr>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应急照明灯</w:t>
            </w:r>
          </w:p>
        </w:tc>
        <w:tc>
          <w:tcPr>
            <w:tcW w:w="834"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个</w:t>
            </w:r>
          </w:p>
        </w:tc>
        <w:tc>
          <w:tcPr>
            <w:tcW w:w="1502" w:type="dxa"/>
            <w:noWrap w:val="0"/>
            <w:vAlign w:val="top"/>
          </w:tcPr>
          <w:p>
            <w:pPr>
              <w:pStyle w:val="7"/>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220</w:t>
            </w:r>
          </w:p>
        </w:tc>
      </w:tr>
    </w:tbl>
    <w:p>
      <w:pPr>
        <w:pStyle w:val="7"/>
        <w:spacing w:line="579" w:lineRule="exact"/>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注：以上清单数量以现场具体数量为准，确保所有维保范围内的设施设备完好有效。</w:t>
      </w:r>
    </w:p>
    <w:bookmarkEnd w:id="3"/>
    <w:p>
      <w:pPr>
        <w:pStyle w:val="7"/>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附件：四川艺术职业学院消防维保质量检查内容及考核评分表。</w:t>
      </w:r>
    </w:p>
    <w:tbl>
      <w:tblPr>
        <w:tblStyle w:val="10"/>
        <w:tblW w:w="91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192"/>
        <w:gridCol w:w="2567"/>
        <w:gridCol w:w="2230"/>
        <w:gridCol w:w="1083"/>
        <w:gridCol w:w="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100" w:type="dxa"/>
            <w:gridSpan w:val="6"/>
            <w:noWrap w:val="0"/>
            <w:vAlign w:val="center"/>
          </w:tcPr>
          <w:p>
            <w:pPr>
              <w:pStyle w:val="7"/>
              <w:jc w:val="center"/>
              <w:rPr>
                <w:rFonts w:hint="eastAsia" w:ascii="仿宋" w:hAnsi="仿宋" w:eastAsia="仿宋" w:cs="仿宋"/>
                <w:color w:val="auto"/>
                <w:sz w:val="24"/>
                <w:highlight w:val="none"/>
              </w:rPr>
            </w:pPr>
            <w:r>
              <w:rPr>
                <w:rFonts w:hint="eastAsia" w:ascii="仿宋" w:hAnsi="仿宋" w:eastAsia="仿宋" w:cs="仿宋"/>
                <w:b/>
                <w:bCs/>
                <w:color w:val="auto"/>
                <w:sz w:val="24"/>
                <w:highlight w:val="none"/>
                <w:lang w:val="en-US" w:eastAsia="zh-CN"/>
              </w:rPr>
              <w:t xml:space="preserve">  </w:t>
            </w:r>
            <w:r>
              <w:rPr>
                <w:rFonts w:hint="eastAsia" w:ascii="仿宋" w:hAnsi="仿宋" w:eastAsia="仿宋" w:cs="仿宋"/>
                <w:b/>
                <w:bCs/>
                <w:color w:val="auto"/>
                <w:sz w:val="24"/>
                <w:highlight w:val="none"/>
              </w:rPr>
              <w:br w:type="page"/>
            </w:r>
            <w:r>
              <w:rPr>
                <w:rFonts w:hint="eastAsia" w:ascii="仿宋" w:hAnsi="仿宋" w:eastAsia="仿宋" w:cs="仿宋"/>
                <w:color w:val="auto"/>
                <w:kern w:val="0"/>
                <w:sz w:val="24"/>
                <w:highlight w:val="none"/>
              </w:rPr>
              <w:t>消防维保质量检查内容及考核评分表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使用单位</w:t>
            </w:r>
          </w:p>
        </w:tc>
        <w:tc>
          <w:tcPr>
            <w:tcW w:w="7725" w:type="dxa"/>
            <w:gridSpan w:val="5"/>
            <w:noWrap w:val="0"/>
            <w:vAlign w:val="center"/>
          </w:tcPr>
          <w:p>
            <w:pPr>
              <w:pStyle w:val="7"/>
              <w:widowControl/>
              <w:ind w:firstLine="2160" w:firstLineChars="900"/>
              <w:jc w:val="both"/>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四川艺术职业学院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管理部门</w:t>
            </w:r>
          </w:p>
        </w:tc>
        <w:tc>
          <w:tcPr>
            <w:tcW w:w="7725" w:type="dxa"/>
            <w:gridSpan w:val="5"/>
            <w:noWrap w:val="0"/>
            <w:vAlign w:val="center"/>
          </w:tcPr>
          <w:p>
            <w:pPr>
              <w:pStyle w:val="7"/>
              <w:widowControl/>
              <w:ind w:firstLine="2400" w:firstLineChars="1000"/>
              <w:jc w:val="both"/>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安全保卫处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成交供应商</w:t>
            </w:r>
          </w:p>
        </w:tc>
        <w:tc>
          <w:tcPr>
            <w:tcW w:w="7725" w:type="dxa"/>
            <w:gridSpan w:val="5"/>
            <w:noWrap w:val="0"/>
            <w:vAlign w:val="center"/>
          </w:tcPr>
          <w:p>
            <w:pPr>
              <w:pStyle w:val="7"/>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考核时间段</w:t>
            </w:r>
          </w:p>
        </w:tc>
        <w:tc>
          <w:tcPr>
            <w:tcW w:w="7725" w:type="dxa"/>
            <w:gridSpan w:val="5"/>
            <w:noWrap w:val="0"/>
            <w:vAlign w:val="center"/>
          </w:tcPr>
          <w:p>
            <w:pPr>
              <w:pStyle w:val="7"/>
              <w:widowControl/>
              <w:ind w:firstLine="1440" w:firstLineChars="600"/>
              <w:jc w:val="both"/>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年   月  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考核人员</w:t>
            </w:r>
          </w:p>
        </w:tc>
        <w:tc>
          <w:tcPr>
            <w:tcW w:w="7725" w:type="dxa"/>
            <w:gridSpan w:val="5"/>
            <w:noWrap w:val="0"/>
            <w:vAlign w:val="center"/>
          </w:tcPr>
          <w:p>
            <w:pPr>
              <w:pStyle w:val="7"/>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维保服务负责人</w:t>
            </w:r>
          </w:p>
        </w:tc>
        <w:tc>
          <w:tcPr>
            <w:tcW w:w="7725" w:type="dxa"/>
            <w:gridSpan w:val="5"/>
            <w:noWrap w:val="0"/>
            <w:vAlign w:val="center"/>
          </w:tcPr>
          <w:p>
            <w:pPr>
              <w:pStyle w:val="7"/>
              <w:jc w:val="center"/>
              <w:rPr>
                <w:rFonts w:hint="eastAsia" w:ascii="仿宋" w:hAnsi="仿宋" w:eastAsia="仿宋" w:cs="仿宋"/>
                <w:color w:val="auto"/>
                <w:sz w:val="24"/>
                <w:highlight w:val="none"/>
              </w:rPr>
            </w:pPr>
          </w:p>
          <w:p>
            <w:pPr>
              <w:pStyle w:val="7"/>
              <w:jc w:val="center"/>
              <w:rPr>
                <w:rFonts w:hint="eastAsia" w:ascii="仿宋" w:hAnsi="仿宋" w:eastAsia="仿宋" w:cs="仿宋"/>
                <w:color w:val="auto"/>
                <w:sz w:val="24"/>
                <w:highlight w:val="none"/>
              </w:rPr>
            </w:pPr>
          </w:p>
          <w:p>
            <w:pPr>
              <w:pStyle w:val="7"/>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检查项目</w:t>
            </w:r>
          </w:p>
        </w:tc>
        <w:tc>
          <w:tcPr>
            <w:tcW w:w="3759" w:type="dxa"/>
            <w:gridSpan w:val="2"/>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检查内容</w:t>
            </w:r>
          </w:p>
        </w:tc>
        <w:tc>
          <w:tcPr>
            <w:tcW w:w="2230"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评分标准</w:t>
            </w:r>
          </w:p>
        </w:tc>
        <w:tc>
          <w:tcPr>
            <w:tcW w:w="1083" w:type="dxa"/>
            <w:noWrap w:val="0"/>
            <w:vAlign w:val="center"/>
          </w:tcPr>
          <w:p>
            <w:pPr>
              <w:pStyle w:val="7"/>
              <w:widowControl/>
              <w:jc w:val="center"/>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扣分</w:t>
            </w:r>
          </w:p>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原因</w:t>
            </w:r>
          </w:p>
        </w:tc>
        <w:tc>
          <w:tcPr>
            <w:tcW w:w="653"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trPr>
        <w:tc>
          <w:tcPr>
            <w:tcW w:w="1375" w:type="dxa"/>
            <w:noWrap w:val="0"/>
            <w:vAlign w:val="center"/>
          </w:tcPr>
          <w:p>
            <w:pPr>
              <w:pStyle w:val="7"/>
              <w:widowControl/>
              <w:jc w:val="center"/>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质量控制</w:t>
            </w:r>
          </w:p>
          <w:p>
            <w:pPr>
              <w:pStyle w:val="7"/>
              <w:widowControl/>
              <w:jc w:val="center"/>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（10分）</w:t>
            </w:r>
          </w:p>
        </w:tc>
        <w:tc>
          <w:tcPr>
            <w:tcW w:w="3759" w:type="dxa"/>
            <w:gridSpan w:val="2"/>
            <w:noWrap w:val="0"/>
            <w:vAlign w:val="center"/>
          </w:tcPr>
          <w:p>
            <w:pPr>
              <w:pStyle w:val="7"/>
              <w:widowControl/>
              <w:jc w:val="center"/>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每次2名及以上具有消防中级</w:t>
            </w:r>
            <w:r>
              <w:rPr>
                <w:rFonts w:hint="eastAsia" w:ascii="仿宋" w:hAnsi="仿宋" w:eastAsia="仿宋" w:cs="仿宋"/>
                <w:color w:val="auto"/>
                <w:sz w:val="24"/>
                <w:highlight w:val="none"/>
                <w:lang w:eastAsia="zh-CN"/>
              </w:rPr>
              <w:t>及以上</w:t>
            </w:r>
            <w:r>
              <w:rPr>
                <w:rFonts w:hint="eastAsia" w:ascii="仿宋" w:hAnsi="仿宋" w:eastAsia="仿宋" w:cs="仿宋"/>
                <w:color w:val="auto"/>
                <w:kern w:val="0"/>
                <w:sz w:val="24"/>
                <w:highlight w:val="none"/>
              </w:rPr>
              <w:t>资格证书人员参与维保工作</w:t>
            </w:r>
          </w:p>
        </w:tc>
        <w:tc>
          <w:tcPr>
            <w:tcW w:w="2230" w:type="dxa"/>
            <w:noWrap w:val="0"/>
            <w:vAlign w:val="center"/>
          </w:tcPr>
          <w:p>
            <w:pPr>
              <w:pStyle w:val="7"/>
              <w:widowControl/>
              <w:jc w:val="center"/>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维保操作现场供应商拟派具有消防中级</w:t>
            </w:r>
            <w:r>
              <w:rPr>
                <w:rFonts w:hint="eastAsia" w:ascii="仿宋" w:hAnsi="仿宋" w:eastAsia="仿宋" w:cs="仿宋"/>
                <w:color w:val="auto"/>
                <w:sz w:val="24"/>
                <w:highlight w:val="none"/>
                <w:lang w:eastAsia="zh-CN"/>
              </w:rPr>
              <w:t>及以上</w:t>
            </w:r>
            <w:r>
              <w:rPr>
                <w:rFonts w:hint="eastAsia" w:ascii="仿宋" w:hAnsi="仿宋" w:eastAsia="仿宋" w:cs="仿宋"/>
                <w:color w:val="auto"/>
                <w:kern w:val="0"/>
                <w:sz w:val="24"/>
                <w:highlight w:val="none"/>
              </w:rPr>
              <w:t>资格证书人员少于2名，每发现一次扣2分。</w:t>
            </w:r>
          </w:p>
        </w:tc>
        <w:tc>
          <w:tcPr>
            <w:tcW w:w="1083" w:type="dxa"/>
            <w:noWrap w:val="0"/>
            <w:vAlign w:val="center"/>
          </w:tcPr>
          <w:p>
            <w:pPr>
              <w:pStyle w:val="7"/>
              <w:widowControl/>
              <w:jc w:val="center"/>
              <w:textAlignment w:val="center"/>
              <w:rPr>
                <w:rFonts w:hint="eastAsia" w:ascii="仿宋" w:hAnsi="仿宋" w:eastAsia="仿宋" w:cs="仿宋"/>
                <w:color w:val="auto"/>
                <w:kern w:val="0"/>
                <w:sz w:val="24"/>
                <w:highlight w:val="none"/>
              </w:rPr>
            </w:pPr>
          </w:p>
        </w:tc>
        <w:tc>
          <w:tcPr>
            <w:tcW w:w="653" w:type="dxa"/>
            <w:noWrap w:val="0"/>
            <w:vAlign w:val="center"/>
          </w:tcPr>
          <w:p>
            <w:pPr>
              <w:pStyle w:val="7"/>
              <w:widowControl/>
              <w:jc w:val="center"/>
              <w:textAlignment w:val="center"/>
              <w:rPr>
                <w:rFonts w:hint="eastAsia" w:ascii="仿宋" w:hAnsi="仿宋" w:eastAsia="仿宋" w:cs="仿宋"/>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9" w:hRule="atLeast"/>
        </w:trPr>
        <w:tc>
          <w:tcPr>
            <w:tcW w:w="1375" w:type="dxa"/>
            <w:vMerge w:val="restart"/>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维保项目（55）分</w:t>
            </w:r>
          </w:p>
        </w:tc>
        <w:tc>
          <w:tcPr>
            <w:tcW w:w="1192"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消防火灾自动报警系统</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（15分）</w:t>
            </w:r>
          </w:p>
        </w:tc>
        <w:tc>
          <w:tcPr>
            <w:tcW w:w="2567" w:type="dxa"/>
            <w:noWrap w:val="0"/>
            <w:vAlign w:val="center"/>
          </w:tcPr>
          <w:p>
            <w:pPr>
              <w:pStyle w:val="7"/>
              <w:widowControl/>
              <w:numPr>
                <w:ilvl w:val="0"/>
                <w:numId w:val="1"/>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火灾自动报警主机的声光、显示和所有外设警示设备功能;              2.火灾探测器和手动报警按钮的动作及确认灯显示;</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3.自动喷淋系统水流指示器、压力开关等信号设备的反馈情况;         4.对备用电源供电系统进行三次主电源自动切换实验;                    5.室内消火栓及喷淋系统联动功能测试;            6.防火卷帘系统联动功能测试;                 7.正压送风、机械排烟系统联动功能测试;        8.声光报警、复合探测器、感温探测器、感烟探测器、消防广播、应急照明联动功能测试</w:t>
            </w:r>
          </w:p>
        </w:tc>
        <w:tc>
          <w:tcPr>
            <w:tcW w:w="2230"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1、火灾自动报警主机声、光显示及外设警示设备有故障，每发现一次扣1分。    2.火灾探测器和手动报警器不能正常巡检，报警有故障，一次扣1分。</w:t>
            </w:r>
          </w:p>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3.自动喷淋系统水流指示器、压力开关等信号设备有</w:t>
            </w:r>
            <w:r>
              <w:rPr>
                <w:rFonts w:hint="eastAsia" w:ascii="仿宋" w:hAnsi="仿宋" w:eastAsia="仿宋" w:cs="仿宋"/>
                <w:color w:val="auto"/>
                <w:highlight w:val="none"/>
              </w:rPr>
              <w:t>故障，</w:t>
            </w:r>
            <w:r>
              <w:rPr>
                <w:rFonts w:hint="eastAsia" w:ascii="仿宋" w:hAnsi="仿宋" w:eastAsia="仿宋" w:cs="仿宋"/>
                <w:color w:val="auto"/>
                <w:kern w:val="0"/>
                <w:sz w:val="24"/>
                <w:highlight w:val="none"/>
              </w:rPr>
              <w:t>每发现一次扣1分;        4.主备电源不能正常切换，每发现1一次扣1分；</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 xml:space="preserve">5.室内消火栓、喷淋、防火卷帘、正压送风、机械排烟、声光报警、消防广播、应急照明联动功能测试有故障，每发现一次扣1分。         </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1192"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消火栓灭火系统（14分）</w:t>
            </w:r>
          </w:p>
        </w:tc>
        <w:tc>
          <w:tcPr>
            <w:tcW w:w="2567"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检查消防泵的远程及就地控制，启动运转消防泵</w:t>
            </w:r>
          </w:p>
        </w:tc>
        <w:tc>
          <w:tcPr>
            <w:tcW w:w="2230"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不能启动运转消防泵，每发现一次扣2分。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9"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1192" w:type="dxa"/>
            <w:noWrap w:val="0"/>
            <w:vAlign w:val="center"/>
          </w:tcPr>
          <w:p>
            <w:pPr>
              <w:pStyle w:val="7"/>
              <w:widowControl/>
              <w:jc w:val="left"/>
              <w:textAlignment w:val="center"/>
              <w:rPr>
                <w:rFonts w:hint="eastAsia" w:ascii="仿宋" w:hAnsi="仿宋" w:eastAsia="仿宋" w:cs="仿宋"/>
                <w:color w:val="auto"/>
                <w:sz w:val="24"/>
                <w:highlight w:val="none"/>
              </w:rPr>
            </w:pPr>
            <w:r>
              <w:rPr>
                <w:rStyle w:val="12"/>
                <w:rFonts w:hint="eastAsia" w:ascii="仿宋" w:hAnsi="仿宋" w:eastAsia="仿宋" w:cs="仿宋"/>
                <w:color w:val="auto"/>
                <w:sz w:val="24"/>
                <w:szCs w:val="24"/>
                <w:highlight w:val="none"/>
              </w:rPr>
              <w:t>消防广播、消防对讲系统（</w:t>
            </w:r>
            <w:r>
              <w:rPr>
                <w:rStyle w:val="13"/>
                <w:rFonts w:hint="eastAsia" w:ascii="仿宋" w:hAnsi="仿宋" w:eastAsia="仿宋" w:cs="仿宋"/>
                <w:color w:val="auto"/>
                <w:sz w:val="24"/>
                <w:szCs w:val="24"/>
                <w:highlight w:val="none"/>
              </w:rPr>
              <w:t>4</w:t>
            </w:r>
            <w:r>
              <w:rPr>
                <w:rStyle w:val="12"/>
                <w:rFonts w:hint="eastAsia" w:ascii="仿宋" w:hAnsi="仿宋" w:eastAsia="仿宋" w:cs="仿宋"/>
                <w:color w:val="auto"/>
                <w:sz w:val="24"/>
                <w:szCs w:val="24"/>
                <w:highlight w:val="none"/>
              </w:rPr>
              <w:t>分）</w:t>
            </w:r>
          </w:p>
        </w:tc>
        <w:tc>
          <w:tcPr>
            <w:tcW w:w="2567" w:type="dxa"/>
            <w:noWrap w:val="0"/>
            <w:vAlign w:val="center"/>
          </w:tcPr>
          <w:p>
            <w:pPr>
              <w:pStyle w:val="7"/>
              <w:widowControl/>
              <w:numPr>
                <w:ilvl w:val="0"/>
                <w:numId w:val="2"/>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对楼层进行送话广播；</w:t>
            </w:r>
          </w:p>
          <w:p>
            <w:pPr>
              <w:pStyle w:val="7"/>
              <w:widowControl/>
              <w:numPr>
                <w:ilvl w:val="0"/>
                <w:numId w:val="2"/>
              </w:numPr>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楼层消防电话与中控室进行对讲；             3.机房、水泵房消防电话与中控室进行对讲。</w:t>
            </w:r>
          </w:p>
        </w:tc>
        <w:tc>
          <w:tcPr>
            <w:tcW w:w="2230"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1.楼层广播不能进行送话，每发现一次扣2分；</w:t>
            </w:r>
          </w:p>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2.楼层消防电话不能与中控室对讲，每发现一次扣2分；</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3.机房、水泵房消防电话不能与中控室进行对讲，每发现一次扣2分。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1192"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防火卷帘门系统</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（4分）</w:t>
            </w:r>
          </w:p>
        </w:tc>
        <w:tc>
          <w:tcPr>
            <w:tcW w:w="2567"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防火卷帘门远程控制运行正常</w:t>
            </w:r>
          </w:p>
        </w:tc>
        <w:tc>
          <w:tcPr>
            <w:tcW w:w="2230"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防火卷帘门不能远程及就地控制启停，每发现一次扣2分。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1192"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疏散、应急系统</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（4分）</w:t>
            </w:r>
          </w:p>
        </w:tc>
        <w:tc>
          <w:tcPr>
            <w:tcW w:w="2567"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应急柜运行正常</w:t>
            </w:r>
          </w:p>
        </w:tc>
        <w:tc>
          <w:tcPr>
            <w:tcW w:w="2230"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应急柜不能正常联动，每发现一次扣2分。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9"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1192" w:type="dxa"/>
            <w:noWrap w:val="0"/>
            <w:vAlign w:val="center"/>
          </w:tcPr>
          <w:p>
            <w:pPr>
              <w:pStyle w:val="7"/>
              <w:widowControl/>
              <w:jc w:val="center"/>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自动喷水系统</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（10分）</w:t>
            </w:r>
          </w:p>
        </w:tc>
        <w:tc>
          <w:tcPr>
            <w:tcW w:w="2567" w:type="dxa"/>
            <w:noWrap w:val="0"/>
            <w:vAlign w:val="center"/>
          </w:tcPr>
          <w:p>
            <w:pPr>
              <w:pStyle w:val="7"/>
              <w:widowControl/>
              <w:numPr>
                <w:ilvl w:val="0"/>
                <w:numId w:val="3"/>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检查喷淋泵的远程及就地控制，并启动泵试运行；</w:t>
            </w:r>
          </w:p>
          <w:p>
            <w:pPr>
              <w:pStyle w:val="7"/>
              <w:widowControl/>
              <w:numPr>
                <w:ilvl w:val="0"/>
                <w:numId w:val="3"/>
              </w:numPr>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对报警阀进行防水试验验证系统的供水能力及压力开关，水力警铃的报警性能；                 3.对末端防水装置防水，试验水流指示器的报警性能；                     4.对消防蓄水池、高位水箱的蓄水进行检查；           5.对各种阀门的开闭及铅封进行检查。</w:t>
            </w:r>
          </w:p>
        </w:tc>
        <w:tc>
          <w:tcPr>
            <w:tcW w:w="2230"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不能启动运转喷淋泵，每发现1次扣2分；</w:t>
            </w:r>
          </w:p>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报警阀放水试验供水或压力开关或水力警铃报警存在故障，每发现1次扣2分；</w:t>
            </w:r>
          </w:p>
          <w:p>
            <w:pPr>
              <w:pStyle w:val="7"/>
              <w:widowControl/>
              <w:jc w:val="left"/>
              <w:textAlignment w:val="center"/>
              <w:rPr>
                <w:rFonts w:hint="eastAsia" w:ascii="仿宋" w:hAnsi="仿宋" w:eastAsia="仿宋" w:cs="仿宋"/>
                <w:color w:val="auto"/>
                <w:highlight w:val="none"/>
              </w:rPr>
            </w:pPr>
            <w:r>
              <w:rPr>
                <w:rFonts w:hint="eastAsia" w:ascii="仿宋" w:hAnsi="仿宋" w:eastAsia="仿宋" w:cs="仿宋"/>
                <w:color w:val="auto"/>
                <w:kern w:val="0"/>
                <w:sz w:val="24"/>
                <w:highlight w:val="none"/>
              </w:rPr>
              <w:t>末端排水，水流指示器报警故障，每发现1次扣2分。</w:t>
            </w:r>
          </w:p>
          <w:p>
            <w:pPr>
              <w:pStyle w:val="8"/>
              <w:ind w:firstLine="240"/>
              <w:rPr>
                <w:rFonts w:hint="eastAsia" w:ascii="仿宋" w:hAnsi="仿宋" w:eastAsia="仿宋" w:cs="仿宋"/>
                <w:color w:val="auto"/>
                <w:highlight w:val="none"/>
              </w:rPr>
            </w:pPr>
            <w:r>
              <w:rPr>
                <w:rFonts w:hint="eastAsia" w:ascii="仿宋" w:hAnsi="仿宋" w:eastAsia="仿宋" w:cs="仿宋"/>
                <w:color w:val="auto"/>
                <w:kern w:val="0"/>
                <w:sz w:val="24"/>
                <w:highlight w:val="none"/>
              </w:rPr>
              <w:t>4.消防蓄水池、高位水箱的蓄水进行检查不符合要求，每发现一次1扣2分；           5.各种阀门的开闭存在故障及铅封毁损，每发现1次扣2分。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1192"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排烟系统（4分）</w:t>
            </w:r>
          </w:p>
        </w:tc>
        <w:tc>
          <w:tcPr>
            <w:tcW w:w="2567" w:type="dxa"/>
            <w:noWrap w:val="0"/>
            <w:vAlign w:val="center"/>
          </w:tcPr>
          <w:p>
            <w:pPr>
              <w:pStyle w:val="7"/>
              <w:widowControl/>
              <w:numPr>
                <w:ilvl w:val="0"/>
                <w:numId w:val="4"/>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控制室及现场启动正常；</w:t>
            </w:r>
          </w:p>
          <w:p>
            <w:pPr>
              <w:pStyle w:val="7"/>
              <w:widowControl/>
              <w:numPr>
                <w:ilvl w:val="0"/>
                <w:numId w:val="4"/>
              </w:numPr>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测试消防联动是否正常</w:t>
            </w:r>
          </w:p>
        </w:tc>
        <w:tc>
          <w:tcPr>
            <w:tcW w:w="2230" w:type="dxa"/>
            <w:noWrap w:val="0"/>
            <w:vAlign w:val="center"/>
          </w:tcPr>
          <w:p>
            <w:pPr>
              <w:pStyle w:val="7"/>
              <w:widowControl/>
              <w:numPr>
                <w:ilvl w:val="0"/>
                <w:numId w:val="5"/>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不能就地或远程启动排烟风机，每发现1次扣2分；</w:t>
            </w:r>
          </w:p>
          <w:p>
            <w:pPr>
              <w:pStyle w:val="7"/>
              <w:widowControl/>
              <w:numPr>
                <w:ilvl w:val="0"/>
                <w:numId w:val="5"/>
              </w:numPr>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不能联动启动每发现1次扣2分。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9" w:hRule="atLeast"/>
        </w:trPr>
        <w:tc>
          <w:tcPr>
            <w:tcW w:w="1375"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维保记录（10）</w:t>
            </w:r>
          </w:p>
        </w:tc>
        <w:tc>
          <w:tcPr>
            <w:tcW w:w="3759" w:type="dxa"/>
            <w:gridSpan w:val="2"/>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1.周、季、年检查登记表；          2.消防工程维修单；                     3.消防工程排故报告单；                 4.火灾自动报警系统维护保养综合检测记录；</w:t>
            </w:r>
          </w:p>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5.自动喷水灭火维护综合检测记录；</w:t>
            </w:r>
          </w:p>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6.社会单位建筑消防维护保养报告备案表；</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7.其它消防设施设备检测记录。</w:t>
            </w:r>
          </w:p>
        </w:tc>
        <w:tc>
          <w:tcPr>
            <w:tcW w:w="2230"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1.维保记录填写真实完整，签字齐全，保持完好；</w:t>
            </w:r>
          </w:p>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2.故障检修记录填写真实完整、签字齐全、保存完好；</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3.每发现1个未填写或记录不全，扣2.5分。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trPr>
        <w:tc>
          <w:tcPr>
            <w:tcW w:w="1375" w:type="dxa"/>
            <w:vMerge w:val="restart"/>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应急救援（20分）</w:t>
            </w:r>
          </w:p>
        </w:tc>
        <w:tc>
          <w:tcPr>
            <w:tcW w:w="3759" w:type="dxa"/>
            <w:gridSpan w:val="2"/>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24小时维保电话畅通。</w:t>
            </w:r>
          </w:p>
        </w:tc>
        <w:tc>
          <w:tcPr>
            <w:tcW w:w="2230"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1.电话关机、欠费停机，1小时内未恢复，每发现1次扣1分。                                     2.电话10分钟以内无人接听，每发现1次扣1分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3759" w:type="dxa"/>
            <w:gridSpan w:val="2"/>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故障救援2小时内到达现场，及时完成排险救援故障。</w:t>
            </w:r>
          </w:p>
        </w:tc>
        <w:tc>
          <w:tcPr>
            <w:tcW w:w="2230" w:type="dxa"/>
            <w:noWrap w:val="0"/>
            <w:vAlign w:val="center"/>
          </w:tcPr>
          <w:p>
            <w:pPr>
              <w:pStyle w:val="7"/>
              <w:widowControl/>
              <w:numPr>
                <w:ilvl w:val="0"/>
                <w:numId w:val="6"/>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规定时间内未解决排除故障，每发现1次扣5分；</w:t>
            </w:r>
          </w:p>
          <w:p>
            <w:pPr>
              <w:pStyle w:val="7"/>
              <w:widowControl/>
              <w:numPr>
                <w:ilvl w:val="0"/>
                <w:numId w:val="6"/>
              </w:numPr>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因救援排险不及时造成隐患及损失的，每发现1次扣20分。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1375"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其它（5分）</w:t>
            </w:r>
          </w:p>
        </w:tc>
        <w:tc>
          <w:tcPr>
            <w:tcW w:w="3759" w:type="dxa"/>
            <w:gridSpan w:val="2"/>
            <w:noWrap w:val="0"/>
            <w:vAlign w:val="center"/>
          </w:tcPr>
          <w:p>
            <w:pPr>
              <w:pStyle w:val="7"/>
              <w:widowControl/>
              <w:numPr>
                <w:ilvl w:val="0"/>
                <w:numId w:val="7"/>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消防成交供应商施工人员操作规范及要求。</w:t>
            </w:r>
          </w:p>
          <w:p>
            <w:pPr>
              <w:pStyle w:val="7"/>
              <w:widowControl/>
              <w:numPr>
                <w:ilvl w:val="0"/>
                <w:numId w:val="7"/>
              </w:numPr>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设施设备的完好率和更换频次及金额。</w:t>
            </w:r>
          </w:p>
        </w:tc>
        <w:tc>
          <w:tcPr>
            <w:tcW w:w="2230"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1.维保操作不规范存在安全隐患，每发现1次扣1分；</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2.成交供应商未按照维保要求条款严格执行造成采购人资金浪费的，每发现1次扣5分。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364" w:type="dxa"/>
            <w:gridSpan w:val="4"/>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得分合计</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备注</w:t>
            </w:r>
          </w:p>
        </w:tc>
        <w:tc>
          <w:tcPr>
            <w:tcW w:w="7072" w:type="dxa"/>
            <w:gridSpan w:val="4"/>
            <w:noWrap w:val="0"/>
            <w:vAlign w:val="center"/>
          </w:tcPr>
          <w:p>
            <w:pPr>
              <w:pStyle w:val="7"/>
              <w:widowControl/>
              <w:numPr>
                <w:ilvl w:val="0"/>
                <w:numId w:val="8"/>
              </w:numPr>
              <w:jc w:val="left"/>
              <w:textAlignment w:val="center"/>
              <w:rPr>
                <w:rFonts w:hint="eastAsia" w:ascii="仿宋" w:hAnsi="仿宋" w:eastAsia="仿宋" w:cs="仿宋"/>
                <w:color w:val="auto"/>
                <w:highlight w:val="none"/>
              </w:rPr>
            </w:pPr>
            <w:r>
              <w:rPr>
                <w:rFonts w:hint="eastAsia" w:ascii="仿宋" w:hAnsi="仿宋" w:eastAsia="仿宋" w:cs="仿宋"/>
                <w:color w:val="auto"/>
                <w:highlight w:val="none"/>
              </w:rPr>
              <w:t xml:space="preserve">考核成绩为95分以上（含95分）的支付该次全部款项。                     </w:t>
            </w:r>
          </w:p>
          <w:p>
            <w:pPr>
              <w:pStyle w:val="7"/>
              <w:widowControl/>
              <w:numPr>
                <w:ilvl w:val="0"/>
                <w:numId w:val="8"/>
              </w:numPr>
              <w:jc w:val="left"/>
              <w:textAlignment w:val="center"/>
              <w:rPr>
                <w:rFonts w:hint="eastAsia" w:ascii="仿宋" w:hAnsi="仿宋" w:eastAsia="仿宋" w:cs="仿宋"/>
                <w:color w:val="auto"/>
                <w:highlight w:val="none"/>
              </w:rPr>
            </w:pPr>
            <w:r>
              <w:rPr>
                <w:rFonts w:hint="eastAsia" w:ascii="仿宋" w:hAnsi="仿宋" w:eastAsia="仿宋" w:cs="仿宋"/>
                <w:color w:val="auto"/>
                <w:highlight w:val="none"/>
              </w:rPr>
              <w:t>考核成绩在95分基础上每低1分，扣该次款项的10%，扣完为止。               3.采购人有权对上述考核表进行修改调整，成交供应商须无条件接受采购人作出的合理修改要求。</w:t>
            </w:r>
          </w:p>
          <w:p>
            <w:pPr>
              <w:pStyle w:val="7"/>
              <w:widowControl/>
              <w:textAlignment w:val="center"/>
              <w:rPr>
                <w:rFonts w:hint="eastAsia" w:ascii="仿宋" w:hAnsi="仿宋" w:eastAsia="仿宋" w:cs="仿宋"/>
                <w:color w:val="auto"/>
                <w:highlight w:val="none"/>
              </w:rPr>
            </w:pPr>
            <w:r>
              <w:rPr>
                <w:rFonts w:hint="eastAsia" w:ascii="仿宋" w:hAnsi="仿宋" w:eastAsia="仿宋" w:cs="仿宋"/>
                <w:color w:val="auto"/>
                <w:highlight w:val="none"/>
              </w:rPr>
              <w:t>4.对于单项考核标准，按照该单项规定扣分，扣完为止。</w:t>
            </w: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100" w:type="dxa"/>
            <w:gridSpan w:val="6"/>
            <w:noWrap w:val="0"/>
            <w:vAlign w:val="center"/>
          </w:tcPr>
          <w:p>
            <w:pPr>
              <w:pStyle w:val="7"/>
              <w:jc w:val="center"/>
              <w:rPr>
                <w:rFonts w:hint="eastAsia" w:ascii="仿宋" w:hAnsi="仿宋" w:eastAsia="仿宋" w:cs="仿宋"/>
                <w:color w:val="auto"/>
                <w:sz w:val="24"/>
                <w:highlight w:val="none"/>
              </w:rPr>
            </w:pPr>
            <w:r>
              <w:rPr>
                <w:rFonts w:hint="eastAsia" w:ascii="仿宋" w:hAnsi="仿宋" w:eastAsia="仿宋" w:cs="仿宋"/>
                <w:b/>
                <w:bCs/>
                <w:color w:val="auto"/>
                <w:sz w:val="24"/>
                <w:highlight w:val="none"/>
                <w:lang w:val="en-US" w:eastAsia="zh-CN"/>
              </w:rPr>
              <w:t xml:space="preserve">  </w:t>
            </w:r>
            <w:r>
              <w:rPr>
                <w:rFonts w:hint="eastAsia" w:ascii="仿宋" w:hAnsi="仿宋" w:eastAsia="仿宋" w:cs="仿宋"/>
                <w:b/>
                <w:bCs/>
                <w:color w:val="auto"/>
                <w:sz w:val="24"/>
                <w:highlight w:val="none"/>
              </w:rPr>
              <w:br w:type="page"/>
            </w:r>
            <w:r>
              <w:rPr>
                <w:rFonts w:hint="eastAsia" w:ascii="仿宋" w:hAnsi="仿宋" w:eastAsia="仿宋" w:cs="仿宋"/>
                <w:color w:val="auto"/>
                <w:kern w:val="0"/>
                <w:sz w:val="24"/>
                <w:highlight w:val="none"/>
              </w:rPr>
              <w:t>消防维保质量检查内容及考核评分表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使用单位</w:t>
            </w:r>
          </w:p>
        </w:tc>
        <w:tc>
          <w:tcPr>
            <w:tcW w:w="7725" w:type="dxa"/>
            <w:gridSpan w:val="5"/>
            <w:noWrap w:val="0"/>
            <w:vAlign w:val="center"/>
          </w:tcPr>
          <w:p>
            <w:pPr>
              <w:pStyle w:val="7"/>
              <w:widowControl/>
              <w:ind w:firstLine="2160" w:firstLineChars="900"/>
              <w:jc w:val="both"/>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四川艺术职业学院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管理部门</w:t>
            </w:r>
          </w:p>
        </w:tc>
        <w:tc>
          <w:tcPr>
            <w:tcW w:w="7725" w:type="dxa"/>
            <w:gridSpan w:val="5"/>
            <w:noWrap w:val="0"/>
            <w:vAlign w:val="center"/>
          </w:tcPr>
          <w:p>
            <w:pPr>
              <w:pStyle w:val="7"/>
              <w:widowControl/>
              <w:ind w:firstLine="2400" w:firstLineChars="1000"/>
              <w:jc w:val="both"/>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安全保卫处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成交供应商</w:t>
            </w:r>
          </w:p>
        </w:tc>
        <w:tc>
          <w:tcPr>
            <w:tcW w:w="7725" w:type="dxa"/>
            <w:gridSpan w:val="5"/>
            <w:noWrap w:val="0"/>
            <w:vAlign w:val="center"/>
          </w:tcPr>
          <w:p>
            <w:pPr>
              <w:pStyle w:val="7"/>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考核时间段</w:t>
            </w:r>
          </w:p>
        </w:tc>
        <w:tc>
          <w:tcPr>
            <w:tcW w:w="7725" w:type="dxa"/>
            <w:gridSpan w:val="5"/>
            <w:noWrap w:val="0"/>
            <w:vAlign w:val="center"/>
          </w:tcPr>
          <w:p>
            <w:pPr>
              <w:pStyle w:val="7"/>
              <w:widowControl/>
              <w:ind w:firstLine="1440" w:firstLineChars="600"/>
              <w:jc w:val="both"/>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年   月  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考核人员</w:t>
            </w:r>
          </w:p>
        </w:tc>
        <w:tc>
          <w:tcPr>
            <w:tcW w:w="7725" w:type="dxa"/>
            <w:gridSpan w:val="5"/>
            <w:noWrap w:val="0"/>
            <w:vAlign w:val="center"/>
          </w:tcPr>
          <w:p>
            <w:pPr>
              <w:pStyle w:val="7"/>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维保服务负责人</w:t>
            </w:r>
          </w:p>
        </w:tc>
        <w:tc>
          <w:tcPr>
            <w:tcW w:w="7725" w:type="dxa"/>
            <w:gridSpan w:val="5"/>
            <w:noWrap w:val="0"/>
            <w:vAlign w:val="center"/>
          </w:tcPr>
          <w:p>
            <w:pPr>
              <w:pStyle w:val="7"/>
              <w:jc w:val="center"/>
              <w:rPr>
                <w:rFonts w:hint="eastAsia" w:ascii="仿宋" w:hAnsi="仿宋" w:eastAsia="仿宋" w:cs="仿宋"/>
                <w:color w:val="auto"/>
                <w:sz w:val="24"/>
                <w:highlight w:val="none"/>
              </w:rPr>
            </w:pPr>
          </w:p>
          <w:p>
            <w:pPr>
              <w:pStyle w:val="7"/>
              <w:jc w:val="center"/>
              <w:rPr>
                <w:rFonts w:hint="eastAsia" w:ascii="仿宋" w:hAnsi="仿宋" w:eastAsia="仿宋" w:cs="仿宋"/>
                <w:color w:val="auto"/>
                <w:sz w:val="24"/>
                <w:highlight w:val="none"/>
              </w:rPr>
            </w:pPr>
          </w:p>
          <w:p>
            <w:pPr>
              <w:pStyle w:val="7"/>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检查项目</w:t>
            </w:r>
          </w:p>
        </w:tc>
        <w:tc>
          <w:tcPr>
            <w:tcW w:w="3759" w:type="dxa"/>
            <w:gridSpan w:val="2"/>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检查内容</w:t>
            </w:r>
          </w:p>
        </w:tc>
        <w:tc>
          <w:tcPr>
            <w:tcW w:w="2230"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评分标准</w:t>
            </w:r>
          </w:p>
        </w:tc>
        <w:tc>
          <w:tcPr>
            <w:tcW w:w="1083" w:type="dxa"/>
            <w:noWrap w:val="0"/>
            <w:vAlign w:val="center"/>
          </w:tcPr>
          <w:p>
            <w:pPr>
              <w:pStyle w:val="7"/>
              <w:widowControl/>
              <w:jc w:val="center"/>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扣分</w:t>
            </w:r>
          </w:p>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原因</w:t>
            </w:r>
          </w:p>
        </w:tc>
        <w:tc>
          <w:tcPr>
            <w:tcW w:w="653"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trPr>
        <w:tc>
          <w:tcPr>
            <w:tcW w:w="1375" w:type="dxa"/>
            <w:noWrap w:val="0"/>
            <w:vAlign w:val="center"/>
          </w:tcPr>
          <w:p>
            <w:pPr>
              <w:pStyle w:val="7"/>
              <w:widowControl/>
              <w:jc w:val="center"/>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质量控制</w:t>
            </w:r>
          </w:p>
          <w:p>
            <w:pPr>
              <w:pStyle w:val="7"/>
              <w:widowControl/>
              <w:jc w:val="center"/>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（10分）</w:t>
            </w:r>
          </w:p>
        </w:tc>
        <w:tc>
          <w:tcPr>
            <w:tcW w:w="3759" w:type="dxa"/>
            <w:gridSpan w:val="2"/>
            <w:noWrap w:val="0"/>
            <w:vAlign w:val="center"/>
          </w:tcPr>
          <w:p>
            <w:pPr>
              <w:pStyle w:val="7"/>
              <w:widowControl/>
              <w:jc w:val="center"/>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每次2名及以上具有消防中级</w:t>
            </w:r>
            <w:r>
              <w:rPr>
                <w:rFonts w:hint="eastAsia" w:ascii="仿宋" w:hAnsi="仿宋" w:eastAsia="仿宋" w:cs="仿宋"/>
                <w:color w:val="auto"/>
                <w:sz w:val="24"/>
                <w:highlight w:val="none"/>
                <w:lang w:eastAsia="zh-CN"/>
              </w:rPr>
              <w:t>及以上</w:t>
            </w:r>
            <w:r>
              <w:rPr>
                <w:rFonts w:hint="eastAsia" w:ascii="仿宋" w:hAnsi="仿宋" w:eastAsia="仿宋" w:cs="仿宋"/>
                <w:color w:val="auto"/>
                <w:kern w:val="0"/>
                <w:sz w:val="24"/>
                <w:highlight w:val="none"/>
              </w:rPr>
              <w:t>资格证书人员参与维保工作</w:t>
            </w:r>
          </w:p>
        </w:tc>
        <w:tc>
          <w:tcPr>
            <w:tcW w:w="2230" w:type="dxa"/>
            <w:noWrap w:val="0"/>
            <w:vAlign w:val="center"/>
          </w:tcPr>
          <w:p>
            <w:pPr>
              <w:pStyle w:val="7"/>
              <w:widowControl/>
              <w:jc w:val="center"/>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维保操作现场供应商拟派具有消防中级</w:t>
            </w:r>
            <w:r>
              <w:rPr>
                <w:rFonts w:hint="eastAsia" w:ascii="仿宋" w:hAnsi="仿宋" w:eastAsia="仿宋" w:cs="仿宋"/>
                <w:color w:val="auto"/>
                <w:sz w:val="24"/>
                <w:highlight w:val="none"/>
                <w:lang w:eastAsia="zh-CN"/>
              </w:rPr>
              <w:t>及以上</w:t>
            </w:r>
            <w:r>
              <w:rPr>
                <w:rFonts w:hint="eastAsia" w:ascii="仿宋" w:hAnsi="仿宋" w:eastAsia="仿宋" w:cs="仿宋"/>
                <w:color w:val="auto"/>
                <w:kern w:val="0"/>
                <w:sz w:val="24"/>
                <w:highlight w:val="none"/>
              </w:rPr>
              <w:t>资格证书人员少于2名，每发现一次扣2分。</w:t>
            </w:r>
          </w:p>
        </w:tc>
        <w:tc>
          <w:tcPr>
            <w:tcW w:w="1083" w:type="dxa"/>
            <w:noWrap w:val="0"/>
            <w:vAlign w:val="center"/>
          </w:tcPr>
          <w:p>
            <w:pPr>
              <w:pStyle w:val="7"/>
              <w:widowControl/>
              <w:jc w:val="center"/>
              <w:textAlignment w:val="center"/>
              <w:rPr>
                <w:rFonts w:hint="eastAsia" w:ascii="仿宋" w:hAnsi="仿宋" w:eastAsia="仿宋" w:cs="仿宋"/>
                <w:color w:val="auto"/>
                <w:kern w:val="0"/>
                <w:sz w:val="24"/>
                <w:highlight w:val="none"/>
              </w:rPr>
            </w:pPr>
          </w:p>
        </w:tc>
        <w:tc>
          <w:tcPr>
            <w:tcW w:w="653" w:type="dxa"/>
            <w:noWrap w:val="0"/>
            <w:vAlign w:val="center"/>
          </w:tcPr>
          <w:p>
            <w:pPr>
              <w:pStyle w:val="7"/>
              <w:widowControl/>
              <w:jc w:val="center"/>
              <w:textAlignment w:val="center"/>
              <w:rPr>
                <w:rFonts w:hint="eastAsia" w:ascii="仿宋" w:hAnsi="仿宋" w:eastAsia="仿宋" w:cs="仿宋"/>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9" w:hRule="atLeast"/>
        </w:trPr>
        <w:tc>
          <w:tcPr>
            <w:tcW w:w="1375" w:type="dxa"/>
            <w:vMerge w:val="restart"/>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维保项目（55）分</w:t>
            </w:r>
          </w:p>
        </w:tc>
        <w:tc>
          <w:tcPr>
            <w:tcW w:w="1192"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消防火灾自动报警系统</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（15分）</w:t>
            </w:r>
          </w:p>
        </w:tc>
        <w:tc>
          <w:tcPr>
            <w:tcW w:w="2567" w:type="dxa"/>
            <w:noWrap w:val="0"/>
            <w:vAlign w:val="center"/>
          </w:tcPr>
          <w:p>
            <w:pPr>
              <w:pStyle w:val="7"/>
              <w:widowControl/>
              <w:numPr>
                <w:ilvl w:val="0"/>
                <w:numId w:val="1"/>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火灾自动报警主机的声光、显示和所有外设警示设备功能;              2.火灾探测器和手动报警按钮的动作及确认灯显示;</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3.自动喷淋系统水流指示器、压力开关等信号设备的反馈情况;         4.对备用电源供电系统进行三次主电源自动切换实验;                    5.室内消火栓及喷淋系统联动功能测试;            6.防火卷帘系统联动功能测试;                 7.正压送风、机械排烟系统联动功能测试;        8.声光报警、复合探测器、感温探测器、感烟探测器、消防广播、应急照明联动功能测试</w:t>
            </w:r>
          </w:p>
        </w:tc>
        <w:tc>
          <w:tcPr>
            <w:tcW w:w="2230"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1、火灾自动报警主机声、光显示及外设警示设备有故障，每发现一次扣1分。    2.火灾探测器和手动报警器不能正常巡检，报警有故障，一次扣1分。</w:t>
            </w:r>
          </w:p>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3.自动喷淋系统水流指示器、压力开关等信号设备有</w:t>
            </w:r>
            <w:r>
              <w:rPr>
                <w:rFonts w:hint="eastAsia" w:ascii="仿宋" w:hAnsi="仿宋" w:eastAsia="仿宋" w:cs="仿宋"/>
                <w:color w:val="auto"/>
                <w:highlight w:val="none"/>
              </w:rPr>
              <w:t>故障，</w:t>
            </w:r>
            <w:r>
              <w:rPr>
                <w:rFonts w:hint="eastAsia" w:ascii="仿宋" w:hAnsi="仿宋" w:eastAsia="仿宋" w:cs="仿宋"/>
                <w:color w:val="auto"/>
                <w:kern w:val="0"/>
                <w:sz w:val="24"/>
                <w:highlight w:val="none"/>
              </w:rPr>
              <w:t>每发现一次扣1分;        4.主备电源不能正常切换，每发现1一次扣1分；</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 xml:space="preserve">5.室内消火栓、喷淋、防火卷帘、正压送风、机械排烟、声光报警、消防广播、应急照明联动功能测试有故障，每发现一次扣1分。         </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1192"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消火栓灭火系统（14分）</w:t>
            </w:r>
          </w:p>
        </w:tc>
        <w:tc>
          <w:tcPr>
            <w:tcW w:w="2567"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检查消防泵的远程及就地控制，启动运转消防泵</w:t>
            </w:r>
          </w:p>
        </w:tc>
        <w:tc>
          <w:tcPr>
            <w:tcW w:w="2230"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不能启动运转消防泵，每发现一次扣2分。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3"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1192" w:type="dxa"/>
            <w:noWrap w:val="0"/>
            <w:vAlign w:val="center"/>
          </w:tcPr>
          <w:p>
            <w:pPr>
              <w:pStyle w:val="7"/>
              <w:widowControl/>
              <w:jc w:val="left"/>
              <w:textAlignment w:val="center"/>
              <w:rPr>
                <w:rFonts w:hint="eastAsia" w:ascii="仿宋" w:hAnsi="仿宋" w:eastAsia="仿宋" w:cs="仿宋"/>
                <w:color w:val="auto"/>
                <w:sz w:val="24"/>
                <w:highlight w:val="none"/>
              </w:rPr>
            </w:pPr>
            <w:r>
              <w:rPr>
                <w:rStyle w:val="12"/>
                <w:rFonts w:hint="eastAsia" w:ascii="仿宋" w:hAnsi="仿宋" w:eastAsia="仿宋" w:cs="仿宋"/>
                <w:color w:val="auto"/>
                <w:sz w:val="24"/>
                <w:szCs w:val="24"/>
                <w:highlight w:val="none"/>
              </w:rPr>
              <w:t>消防广播、消防对讲系统（</w:t>
            </w:r>
            <w:r>
              <w:rPr>
                <w:rStyle w:val="13"/>
                <w:rFonts w:hint="eastAsia" w:ascii="仿宋" w:hAnsi="仿宋" w:eastAsia="仿宋" w:cs="仿宋"/>
                <w:color w:val="auto"/>
                <w:sz w:val="24"/>
                <w:szCs w:val="24"/>
                <w:highlight w:val="none"/>
              </w:rPr>
              <w:t>4</w:t>
            </w:r>
            <w:r>
              <w:rPr>
                <w:rStyle w:val="12"/>
                <w:rFonts w:hint="eastAsia" w:ascii="仿宋" w:hAnsi="仿宋" w:eastAsia="仿宋" w:cs="仿宋"/>
                <w:color w:val="auto"/>
                <w:sz w:val="24"/>
                <w:szCs w:val="24"/>
                <w:highlight w:val="none"/>
              </w:rPr>
              <w:t>分）</w:t>
            </w:r>
          </w:p>
        </w:tc>
        <w:tc>
          <w:tcPr>
            <w:tcW w:w="2567" w:type="dxa"/>
            <w:noWrap w:val="0"/>
            <w:vAlign w:val="center"/>
          </w:tcPr>
          <w:p>
            <w:pPr>
              <w:pStyle w:val="7"/>
              <w:widowControl/>
              <w:numPr>
                <w:ilvl w:val="0"/>
                <w:numId w:val="2"/>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对楼层进行送话广播；</w:t>
            </w:r>
          </w:p>
          <w:p>
            <w:pPr>
              <w:pStyle w:val="7"/>
              <w:widowControl/>
              <w:numPr>
                <w:ilvl w:val="0"/>
                <w:numId w:val="2"/>
              </w:numPr>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楼层消防电话与中控室进行对讲；             3.机房、水泵房消防电话与中控室进行对讲。</w:t>
            </w:r>
          </w:p>
        </w:tc>
        <w:tc>
          <w:tcPr>
            <w:tcW w:w="2230"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1.楼层广播不能进行送话，每发现一次扣2分；</w:t>
            </w:r>
          </w:p>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2.楼层消防电话不能与中控室对讲，每发现一次扣2分；</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3.机房、水泵房消防电话不能与中控室进行对讲，每发现一次扣2分。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1192"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防火卷帘门系统</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（4分）</w:t>
            </w:r>
          </w:p>
        </w:tc>
        <w:tc>
          <w:tcPr>
            <w:tcW w:w="2567"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防火卷帘门远程控制运行正常</w:t>
            </w:r>
          </w:p>
        </w:tc>
        <w:tc>
          <w:tcPr>
            <w:tcW w:w="2230"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防火卷帘门不能远程及就地控制启停，每发现一次扣2分。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1192"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疏散、应急系统</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（4分）</w:t>
            </w:r>
          </w:p>
        </w:tc>
        <w:tc>
          <w:tcPr>
            <w:tcW w:w="2567"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应急柜运行正常</w:t>
            </w:r>
          </w:p>
        </w:tc>
        <w:tc>
          <w:tcPr>
            <w:tcW w:w="2230"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应急柜不能正常联动，每发现一次扣2分。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9"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1192" w:type="dxa"/>
            <w:noWrap w:val="0"/>
            <w:vAlign w:val="center"/>
          </w:tcPr>
          <w:p>
            <w:pPr>
              <w:pStyle w:val="7"/>
              <w:widowControl/>
              <w:jc w:val="center"/>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自动喷水系统</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（10分）</w:t>
            </w:r>
          </w:p>
        </w:tc>
        <w:tc>
          <w:tcPr>
            <w:tcW w:w="2567" w:type="dxa"/>
            <w:noWrap w:val="0"/>
            <w:vAlign w:val="center"/>
          </w:tcPr>
          <w:p>
            <w:pPr>
              <w:pStyle w:val="7"/>
              <w:widowControl/>
              <w:numPr>
                <w:ilvl w:val="0"/>
                <w:numId w:val="3"/>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检查喷淋泵的远程及就地控制，并启动泵试运行；</w:t>
            </w:r>
          </w:p>
          <w:p>
            <w:pPr>
              <w:pStyle w:val="7"/>
              <w:widowControl/>
              <w:numPr>
                <w:ilvl w:val="0"/>
                <w:numId w:val="3"/>
              </w:numPr>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对报警阀进行防水试验验证系统的供水能力及压力开关，水力警铃的报警性能；                 3.对末端防水装置防水，试验水流指示器的报警性能；                     4.对消防蓄水池、高位水箱的蓄水进行检查；           5.对各种阀门的开闭及铅封进行检查。</w:t>
            </w:r>
          </w:p>
        </w:tc>
        <w:tc>
          <w:tcPr>
            <w:tcW w:w="2230"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不能启动运转喷淋泵，每发现1次扣2分；</w:t>
            </w:r>
          </w:p>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报警阀放水试验供水或压力开关或水力警铃报警存在故障，每发现1次扣2分；</w:t>
            </w:r>
          </w:p>
          <w:p>
            <w:pPr>
              <w:pStyle w:val="7"/>
              <w:widowControl/>
              <w:jc w:val="left"/>
              <w:textAlignment w:val="center"/>
              <w:rPr>
                <w:rFonts w:hint="eastAsia" w:ascii="仿宋" w:hAnsi="仿宋" w:eastAsia="仿宋" w:cs="仿宋"/>
                <w:color w:val="auto"/>
                <w:highlight w:val="none"/>
              </w:rPr>
            </w:pPr>
            <w:r>
              <w:rPr>
                <w:rFonts w:hint="eastAsia" w:ascii="仿宋" w:hAnsi="仿宋" w:eastAsia="仿宋" w:cs="仿宋"/>
                <w:color w:val="auto"/>
                <w:kern w:val="0"/>
                <w:sz w:val="24"/>
                <w:highlight w:val="none"/>
              </w:rPr>
              <w:t>末端排水，水流指示器报警故障，每发现1次扣2分。</w:t>
            </w:r>
          </w:p>
          <w:p>
            <w:pPr>
              <w:pStyle w:val="8"/>
              <w:ind w:firstLine="240"/>
              <w:rPr>
                <w:rFonts w:hint="eastAsia" w:ascii="仿宋" w:hAnsi="仿宋" w:eastAsia="仿宋" w:cs="仿宋"/>
                <w:color w:val="auto"/>
                <w:highlight w:val="none"/>
              </w:rPr>
            </w:pPr>
            <w:r>
              <w:rPr>
                <w:rFonts w:hint="eastAsia" w:ascii="仿宋" w:hAnsi="仿宋" w:eastAsia="仿宋" w:cs="仿宋"/>
                <w:color w:val="auto"/>
                <w:kern w:val="0"/>
                <w:sz w:val="24"/>
                <w:highlight w:val="none"/>
              </w:rPr>
              <w:t>4.消防蓄水池、高位水箱的蓄水进行检查不符合要求，每发现一次1扣2分；           5.各种阀门的开闭存在故障及铅封毁损，每发现1次扣2分。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1192"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排烟系统（4分）</w:t>
            </w:r>
          </w:p>
        </w:tc>
        <w:tc>
          <w:tcPr>
            <w:tcW w:w="2567" w:type="dxa"/>
            <w:noWrap w:val="0"/>
            <w:vAlign w:val="center"/>
          </w:tcPr>
          <w:p>
            <w:pPr>
              <w:pStyle w:val="7"/>
              <w:widowControl/>
              <w:numPr>
                <w:ilvl w:val="0"/>
                <w:numId w:val="4"/>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控制室及现场启动正常；</w:t>
            </w:r>
          </w:p>
          <w:p>
            <w:pPr>
              <w:pStyle w:val="7"/>
              <w:widowControl/>
              <w:numPr>
                <w:ilvl w:val="0"/>
                <w:numId w:val="4"/>
              </w:numPr>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测试消防联动是否正常</w:t>
            </w:r>
          </w:p>
        </w:tc>
        <w:tc>
          <w:tcPr>
            <w:tcW w:w="2230" w:type="dxa"/>
            <w:noWrap w:val="0"/>
            <w:vAlign w:val="center"/>
          </w:tcPr>
          <w:p>
            <w:pPr>
              <w:pStyle w:val="7"/>
              <w:widowControl/>
              <w:numPr>
                <w:ilvl w:val="0"/>
                <w:numId w:val="5"/>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不能就地或远程启动排烟风机，每发现1次扣2分；</w:t>
            </w:r>
          </w:p>
          <w:p>
            <w:pPr>
              <w:pStyle w:val="7"/>
              <w:widowControl/>
              <w:numPr>
                <w:ilvl w:val="0"/>
                <w:numId w:val="5"/>
              </w:numPr>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不能联动启动每发现1次扣2分。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9" w:hRule="atLeast"/>
        </w:trPr>
        <w:tc>
          <w:tcPr>
            <w:tcW w:w="1375"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维保记录（10）</w:t>
            </w:r>
          </w:p>
        </w:tc>
        <w:tc>
          <w:tcPr>
            <w:tcW w:w="3759" w:type="dxa"/>
            <w:gridSpan w:val="2"/>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1.周、季、年检查登记表；          2.消防工程维修单；                     3.消防工程排故报告单；                 4.火灾自动报警系统维护保养综合检测记录；</w:t>
            </w:r>
          </w:p>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5.自动喷水灭火维护综合检测记录；</w:t>
            </w:r>
          </w:p>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6.社会单位建筑消防维护保养报告备案表；</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7.其它消防设施设备检测记录。</w:t>
            </w:r>
          </w:p>
        </w:tc>
        <w:tc>
          <w:tcPr>
            <w:tcW w:w="2230"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1.维保记录填写真实完整，签字齐全，保持完好；</w:t>
            </w:r>
          </w:p>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2.故障检修记录填写真实完整、签字齐全、保存完好；</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3.每发现1个未填写或记录不全，扣2.5分。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trPr>
        <w:tc>
          <w:tcPr>
            <w:tcW w:w="1375" w:type="dxa"/>
            <w:vMerge w:val="restart"/>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应急救援（20分）</w:t>
            </w:r>
          </w:p>
        </w:tc>
        <w:tc>
          <w:tcPr>
            <w:tcW w:w="3759" w:type="dxa"/>
            <w:gridSpan w:val="2"/>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24小时维保电话畅通。</w:t>
            </w:r>
          </w:p>
        </w:tc>
        <w:tc>
          <w:tcPr>
            <w:tcW w:w="2230"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1.电话关机、欠费停机，1小时内未恢复，每发现1次扣1分。                                     2.电话10分钟以内无人接听，每发现1次扣1分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trPr>
        <w:tc>
          <w:tcPr>
            <w:tcW w:w="1375" w:type="dxa"/>
            <w:vMerge w:val="continue"/>
            <w:noWrap w:val="0"/>
            <w:vAlign w:val="center"/>
          </w:tcPr>
          <w:p>
            <w:pPr>
              <w:pStyle w:val="7"/>
              <w:jc w:val="center"/>
              <w:rPr>
                <w:rFonts w:hint="eastAsia" w:ascii="仿宋" w:hAnsi="仿宋" w:eastAsia="仿宋" w:cs="仿宋"/>
                <w:color w:val="auto"/>
                <w:sz w:val="24"/>
                <w:highlight w:val="none"/>
              </w:rPr>
            </w:pPr>
          </w:p>
        </w:tc>
        <w:tc>
          <w:tcPr>
            <w:tcW w:w="3759" w:type="dxa"/>
            <w:gridSpan w:val="2"/>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故障救援2小时内到达现场，及时完成排险救援故障。</w:t>
            </w:r>
          </w:p>
        </w:tc>
        <w:tc>
          <w:tcPr>
            <w:tcW w:w="2230" w:type="dxa"/>
            <w:noWrap w:val="0"/>
            <w:vAlign w:val="center"/>
          </w:tcPr>
          <w:p>
            <w:pPr>
              <w:pStyle w:val="7"/>
              <w:widowControl/>
              <w:numPr>
                <w:ilvl w:val="0"/>
                <w:numId w:val="6"/>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规定时间内未解决排除故障，每发现1次扣5分；</w:t>
            </w:r>
          </w:p>
          <w:p>
            <w:pPr>
              <w:pStyle w:val="7"/>
              <w:widowControl/>
              <w:numPr>
                <w:ilvl w:val="0"/>
                <w:numId w:val="6"/>
              </w:numPr>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因救援排险不及时造成隐患及损失的，每发现1次扣20分。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1375" w:type="dxa"/>
            <w:noWrap w:val="0"/>
            <w:vAlign w:val="center"/>
          </w:tcPr>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其它（5分）</w:t>
            </w:r>
          </w:p>
        </w:tc>
        <w:tc>
          <w:tcPr>
            <w:tcW w:w="3759" w:type="dxa"/>
            <w:gridSpan w:val="2"/>
            <w:noWrap w:val="0"/>
            <w:vAlign w:val="center"/>
          </w:tcPr>
          <w:p>
            <w:pPr>
              <w:pStyle w:val="7"/>
              <w:widowControl/>
              <w:numPr>
                <w:ilvl w:val="0"/>
                <w:numId w:val="7"/>
              </w:numPr>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消防成交供应商施工人员操作规范及要求。</w:t>
            </w:r>
          </w:p>
          <w:p>
            <w:pPr>
              <w:pStyle w:val="7"/>
              <w:widowControl/>
              <w:numPr>
                <w:ilvl w:val="0"/>
                <w:numId w:val="7"/>
              </w:numPr>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设施设备的完好率和更换频次及金额。</w:t>
            </w:r>
          </w:p>
        </w:tc>
        <w:tc>
          <w:tcPr>
            <w:tcW w:w="2230" w:type="dxa"/>
            <w:noWrap w:val="0"/>
            <w:vAlign w:val="center"/>
          </w:tcPr>
          <w:p>
            <w:pPr>
              <w:pStyle w:val="7"/>
              <w:widowControl/>
              <w:jc w:val="left"/>
              <w:textAlignment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1.维保操作不规范存在安全隐患，每发现1次扣1分；</w:t>
            </w:r>
          </w:p>
          <w:p>
            <w:pPr>
              <w:pStyle w:val="7"/>
              <w:widowControl/>
              <w:jc w:val="left"/>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2.成交供应商未按照维保要求条款严格执行造成采购人资金浪费的，每发现1次扣5分。</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364" w:type="dxa"/>
            <w:gridSpan w:val="4"/>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得分合计</w:t>
            </w:r>
          </w:p>
        </w:tc>
        <w:tc>
          <w:tcPr>
            <w:tcW w:w="1083" w:type="dxa"/>
            <w:noWrap w:val="0"/>
            <w:vAlign w:val="center"/>
          </w:tcPr>
          <w:p>
            <w:pPr>
              <w:pStyle w:val="7"/>
              <w:rPr>
                <w:rFonts w:hint="eastAsia" w:ascii="仿宋" w:hAnsi="仿宋" w:eastAsia="仿宋" w:cs="仿宋"/>
                <w:color w:val="auto"/>
                <w:sz w:val="24"/>
                <w:highlight w:val="none"/>
              </w:rPr>
            </w:pPr>
          </w:p>
        </w:tc>
        <w:tc>
          <w:tcPr>
            <w:tcW w:w="653" w:type="dxa"/>
            <w:noWrap w:val="0"/>
            <w:vAlign w:val="center"/>
          </w:tcPr>
          <w:p>
            <w:pPr>
              <w:pStyle w:val="7"/>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9" w:hRule="atLeast"/>
        </w:trPr>
        <w:tc>
          <w:tcPr>
            <w:tcW w:w="1375" w:type="dxa"/>
            <w:noWrap w:val="0"/>
            <w:vAlign w:val="center"/>
          </w:tcPr>
          <w:p>
            <w:pPr>
              <w:pStyle w:val="7"/>
              <w:widowControl/>
              <w:jc w:val="center"/>
              <w:textAlignment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备注</w:t>
            </w:r>
          </w:p>
        </w:tc>
        <w:tc>
          <w:tcPr>
            <w:tcW w:w="7072" w:type="dxa"/>
            <w:gridSpan w:val="4"/>
            <w:noWrap w:val="0"/>
            <w:vAlign w:val="center"/>
          </w:tcPr>
          <w:p>
            <w:pPr>
              <w:pStyle w:val="7"/>
              <w:widowControl/>
              <w:numPr>
                <w:ilvl w:val="0"/>
                <w:numId w:val="8"/>
              </w:numPr>
              <w:jc w:val="left"/>
              <w:textAlignment w:val="center"/>
              <w:rPr>
                <w:rFonts w:hint="eastAsia" w:ascii="仿宋" w:hAnsi="仿宋" w:eastAsia="仿宋" w:cs="仿宋"/>
                <w:color w:val="auto"/>
                <w:highlight w:val="none"/>
              </w:rPr>
            </w:pPr>
            <w:r>
              <w:rPr>
                <w:rFonts w:hint="eastAsia" w:ascii="仿宋" w:hAnsi="仿宋" w:eastAsia="仿宋" w:cs="仿宋"/>
                <w:color w:val="auto"/>
                <w:highlight w:val="none"/>
              </w:rPr>
              <w:t xml:space="preserve">考核成绩为95分以上（含95分）的支付该次全部款项。                     </w:t>
            </w:r>
          </w:p>
          <w:p>
            <w:pPr>
              <w:pStyle w:val="7"/>
              <w:widowControl/>
              <w:numPr>
                <w:ilvl w:val="0"/>
                <w:numId w:val="8"/>
              </w:numPr>
              <w:jc w:val="left"/>
              <w:textAlignment w:val="center"/>
              <w:rPr>
                <w:rFonts w:hint="eastAsia" w:ascii="仿宋" w:hAnsi="仿宋" w:eastAsia="仿宋" w:cs="仿宋"/>
                <w:color w:val="auto"/>
                <w:highlight w:val="none"/>
              </w:rPr>
            </w:pPr>
            <w:r>
              <w:rPr>
                <w:rFonts w:hint="eastAsia" w:ascii="仿宋" w:hAnsi="仿宋" w:eastAsia="仿宋" w:cs="仿宋"/>
                <w:color w:val="auto"/>
                <w:highlight w:val="none"/>
              </w:rPr>
              <w:t>考核成绩在95分基础上每低1分，扣该次款项的10%，扣完为止。               3.采购人有权对上述考核表进行修改调整，成交供应商须无条件接受采购人作出的合理修改要求。</w:t>
            </w:r>
          </w:p>
          <w:p>
            <w:pPr>
              <w:pStyle w:val="7"/>
              <w:widowControl/>
              <w:textAlignment w:val="center"/>
              <w:rPr>
                <w:rFonts w:hint="eastAsia" w:ascii="仿宋" w:hAnsi="仿宋" w:eastAsia="仿宋" w:cs="仿宋"/>
                <w:color w:val="auto"/>
                <w:highlight w:val="none"/>
              </w:rPr>
            </w:pPr>
            <w:r>
              <w:rPr>
                <w:rFonts w:hint="eastAsia" w:ascii="仿宋" w:hAnsi="仿宋" w:eastAsia="仿宋" w:cs="仿宋"/>
                <w:color w:val="auto"/>
                <w:highlight w:val="none"/>
              </w:rPr>
              <w:t>4.对于单项考核标准，按照该单项规定扣分，扣完为止。</w:t>
            </w:r>
          </w:p>
        </w:tc>
        <w:tc>
          <w:tcPr>
            <w:tcW w:w="653" w:type="dxa"/>
            <w:noWrap w:val="0"/>
            <w:vAlign w:val="center"/>
          </w:tcPr>
          <w:p>
            <w:pPr>
              <w:pStyle w:val="7"/>
              <w:rPr>
                <w:rFonts w:hint="eastAsia" w:ascii="仿宋" w:hAnsi="仿宋" w:eastAsia="仿宋" w:cs="仿宋"/>
                <w:color w:val="auto"/>
                <w:sz w:val="24"/>
                <w:highlight w:val="none"/>
              </w:rPr>
            </w:pPr>
          </w:p>
        </w:tc>
      </w:tr>
    </w:tbl>
    <w:p>
      <w:pPr>
        <w:pStyle w:val="5"/>
        <w:spacing w:before="0" w:after="0" w:line="380" w:lineRule="exact"/>
        <w:rPr>
          <w:rFonts w:hint="eastAsia" w:ascii="仿宋" w:hAnsi="仿宋" w:eastAsia="仿宋" w:cs="仿宋"/>
          <w:color w:val="auto"/>
          <w:sz w:val="28"/>
          <w:szCs w:val="28"/>
          <w:highlight w:val="none"/>
          <w:lang w:val="en-US" w:eastAsia="zh-CN"/>
        </w:rPr>
      </w:pPr>
      <w:r>
        <w:rPr>
          <w:rFonts w:hint="eastAsia" w:ascii="仿宋_GB2312" w:eastAsia="仿宋_GB2312"/>
          <w:color w:val="auto"/>
          <w:sz w:val="24"/>
          <w:szCs w:val="22"/>
          <w:highlight w:val="none"/>
        </w:rPr>
        <w:t>★</w:t>
      </w:r>
      <w:r>
        <w:rPr>
          <w:rFonts w:hint="eastAsia" w:ascii="仿宋" w:hAnsi="仿宋" w:eastAsia="仿宋" w:cs="仿宋"/>
          <w:color w:val="auto"/>
          <w:sz w:val="28"/>
          <w:szCs w:val="28"/>
          <w:highlight w:val="none"/>
          <w:lang w:val="en-US" w:eastAsia="zh-CN"/>
        </w:rPr>
        <w:t>三、商务要求</w:t>
      </w:r>
    </w:p>
    <w:p>
      <w:pPr>
        <w:pStyle w:val="7"/>
        <w:adjustRightInd w:val="0"/>
        <w:snapToGrid w:val="0"/>
        <w:spacing w:line="360" w:lineRule="auto"/>
        <w:ind w:firstLine="477" w:firstLineChars="198"/>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1、履约时间、履约地点及履约保证金</w:t>
      </w:r>
    </w:p>
    <w:p>
      <w:pPr>
        <w:pStyle w:val="7"/>
        <w:adjustRightInd w:val="0"/>
        <w:snapToGrid w:val="0"/>
        <w:spacing w:line="360" w:lineRule="auto"/>
        <w:ind w:firstLine="480" w:firstLineChars="200"/>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1.1 履约时间：采购合同签订生效后5个工作日内必须进场履约，履约时效2年。</w:t>
      </w:r>
    </w:p>
    <w:p>
      <w:pPr>
        <w:pStyle w:val="7"/>
        <w:adjustRightInd w:val="0"/>
        <w:snapToGrid w:val="0"/>
        <w:spacing w:line="360" w:lineRule="auto"/>
        <w:ind w:firstLine="480" w:firstLineChars="200"/>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1.2 履约地点：采购人指定地点。</w:t>
      </w:r>
    </w:p>
    <w:p>
      <w:pPr>
        <w:pStyle w:val="8"/>
        <w:ind w:firstLine="480" w:firstLineChars="200"/>
        <w:rPr>
          <w:rFonts w:hint="eastAsia" w:ascii="仿宋" w:hAnsi="仿宋" w:eastAsia="仿宋" w:cs="仿宋"/>
          <w:b w:val="0"/>
          <w:bCs/>
          <w:color w:val="auto"/>
          <w:highlight w:val="none"/>
        </w:rPr>
      </w:pPr>
      <w:r>
        <w:rPr>
          <w:rFonts w:hint="eastAsia" w:ascii="仿宋" w:hAnsi="仿宋" w:eastAsia="仿宋" w:cs="仿宋"/>
          <w:b w:val="0"/>
          <w:bCs/>
          <w:color w:val="auto"/>
          <w:sz w:val="24"/>
          <w:highlight w:val="none"/>
        </w:rPr>
        <w:t>1.3 履约保证金：本项目不收取履约保证金。</w:t>
      </w:r>
    </w:p>
    <w:p>
      <w:pPr>
        <w:pStyle w:val="7"/>
        <w:adjustRightInd w:val="0"/>
        <w:snapToGrid w:val="0"/>
        <w:spacing w:line="360" w:lineRule="auto"/>
        <w:ind w:firstLine="477" w:firstLineChars="198"/>
        <w:rPr>
          <w:rFonts w:hint="eastAsia" w:ascii="仿宋" w:hAnsi="仿宋" w:eastAsia="仿宋" w:cs="仿宋"/>
          <w:b/>
          <w:bCs w:val="0"/>
          <w:color w:val="auto"/>
          <w:sz w:val="24"/>
          <w:highlight w:val="none"/>
        </w:rPr>
      </w:pPr>
      <w:r>
        <w:rPr>
          <w:rFonts w:hint="eastAsia" w:ascii="仿宋" w:hAnsi="仿宋" w:eastAsia="仿宋" w:cs="仿宋"/>
          <w:b/>
          <w:bCs w:val="0"/>
          <w:color w:val="auto"/>
          <w:sz w:val="24"/>
          <w:highlight w:val="none"/>
        </w:rPr>
        <w:t>2、合同价款</w:t>
      </w:r>
    </w:p>
    <w:p>
      <w:pPr>
        <w:pStyle w:val="7"/>
        <w:adjustRightInd w:val="0"/>
        <w:snapToGrid w:val="0"/>
        <w:spacing w:line="360" w:lineRule="auto"/>
        <w:ind w:firstLine="480" w:firstLineChars="200"/>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合同价是供应商完成本项目全部内容的价格体现，包括人工劳务、差旅、管理、维保档案建立、利润、税金、风险等完成本项目的费用。</w:t>
      </w:r>
    </w:p>
    <w:p>
      <w:pPr>
        <w:pStyle w:val="7"/>
        <w:adjustRightInd w:val="0"/>
        <w:snapToGrid w:val="0"/>
        <w:spacing w:line="360" w:lineRule="auto"/>
        <w:ind w:left="239" w:leftChars="114" w:firstLine="236" w:firstLineChars="98"/>
        <w:rPr>
          <w:rFonts w:hint="eastAsia" w:ascii="仿宋" w:hAnsi="仿宋" w:eastAsia="仿宋" w:cs="仿宋"/>
          <w:b w:val="0"/>
          <w:bCs/>
          <w:color w:val="auto"/>
          <w:sz w:val="24"/>
          <w:highlight w:val="none"/>
        </w:rPr>
      </w:pPr>
      <w:r>
        <w:rPr>
          <w:rFonts w:hint="eastAsia" w:ascii="仿宋" w:hAnsi="仿宋" w:eastAsia="仿宋" w:cs="仿宋"/>
          <w:b/>
          <w:bCs w:val="0"/>
          <w:color w:val="auto"/>
          <w:sz w:val="24"/>
          <w:highlight w:val="none"/>
        </w:rPr>
        <w:t>3、付款方式</w:t>
      </w:r>
    </w:p>
    <w:p>
      <w:pPr>
        <w:pStyle w:val="7"/>
        <w:adjustRightInd w:val="0"/>
        <w:snapToGrid w:val="0"/>
        <w:spacing w:line="360" w:lineRule="auto"/>
        <w:ind w:left="239" w:leftChars="114" w:firstLine="240" w:firstLineChars="100"/>
        <w:jc w:val="left"/>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3.1合同一年一签，签订合同后5个工作日支付合同金额的60%；自签订合同起成交供应商在完成半年度维保工作后向采购人提交维保总结，经采购人考核合格后支付供应商合同金额的30% ；自签订合同起供应商在完成全年度维保工作后向采购人提交年审报告，经采购人考核合格后支付剩余合同金额的10%尾款。考核不合格的采购人将不予以支付服务费，同时不再与成交供应商签订下一年服务合同，还可能会报相关部门按照政府采购法律法规等有关规定给予行政处罚或者以失信行为记入诚信档案。</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 xml:space="preserve">  3.2成交供应商须向采购人出具合法有效完整的完税发票及凭证资料后进行支付结算，付款方式均采用公对公的银行转账，成交供应商接受转账的开户信息以采购合同载明的为准。</w:t>
      </w:r>
    </w:p>
    <w:p>
      <w:pPr>
        <w:pStyle w:val="7"/>
        <w:adjustRightInd w:val="0"/>
        <w:snapToGrid w:val="0"/>
        <w:spacing w:line="360" w:lineRule="auto"/>
        <w:ind w:firstLine="477" w:firstLineChars="198"/>
        <w:rPr>
          <w:rFonts w:hint="eastAsia" w:ascii="仿宋" w:hAnsi="仿宋" w:eastAsia="仿宋" w:cs="仿宋"/>
          <w:b w:val="0"/>
          <w:bCs/>
          <w:color w:val="auto"/>
          <w:sz w:val="24"/>
          <w:highlight w:val="none"/>
        </w:rPr>
      </w:pPr>
      <w:r>
        <w:rPr>
          <w:rFonts w:hint="eastAsia" w:ascii="仿宋" w:hAnsi="仿宋" w:eastAsia="仿宋" w:cs="仿宋"/>
          <w:b/>
          <w:bCs w:val="0"/>
          <w:color w:val="auto"/>
          <w:sz w:val="24"/>
          <w:highlight w:val="none"/>
        </w:rPr>
        <w:t>4、违约责任</w:t>
      </w:r>
    </w:p>
    <w:p>
      <w:pPr>
        <w:pStyle w:val="7"/>
        <w:adjustRightInd w:val="0"/>
        <w:snapToGrid w:val="0"/>
        <w:spacing w:line="360" w:lineRule="auto"/>
        <w:ind w:firstLine="480" w:firstLineChars="200"/>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4.1 成交供应商必须遵守采购合同并执行合同中的各项规定，保证采购合同的正常履行。</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 xml:space="preserve">    4.2 如因成交供应商工作人员在履行职务过程中的疏忽、失职、过错等故意或者过失原因给采购人造成侵害或损失，包括但不限于采购人本身的财产损失、由此而导致的采购人对任何第三方的法律责任等，成交供应商对此均应承担全部的赔偿责任。</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 xml:space="preserve">    4.3 成交供应商必须遵守采购合同按时完成合同相关工作，若由于成交供应商原因导致合同迟延履行，采购人有权终止采购合同并要求成交供应商赔偿所有损失</w:t>
      </w:r>
    </w:p>
    <w:p>
      <w:pPr>
        <w:pStyle w:val="7"/>
        <w:adjustRightInd w:val="0"/>
        <w:snapToGrid w:val="0"/>
        <w:spacing w:line="360" w:lineRule="auto"/>
        <w:ind w:firstLine="480" w:firstLineChars="200"/>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4.4 成交供应商应当遵守采购人的相关项目需求及相关技术要求及实质性条款，实施完成采购合同应当完全满足相关项目需求及相关技术要求及实质性条款，若成交供应商未能履行采购合同要求考评低于90分，采购人有权向成交供应商要求赔偿合同总价款 20%的违约金并责成成交供应商及时整改，若造成相关损失的，采购人有权要求成交供应商承担所有赔偿责任。</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 xml:space="preserve">    4.5 有下列情形之一的，当事人可以解除合同：</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（1）因不可抗力致使不能实现合同目的(由于非成交供应商或采购人原因，致使合同实质性条款无法实现的)；</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（2）当事人一方迟延履行主要债务，经催告后在合理期限内仍未履行；</w:t>
      </w:r>
    </w:p>
    <w:p>
      <w:pPr>
        <w:pStyle w:val="7"/>
        <w:adjustRightInd w:val="0"/>
        <w:snapToGrid w:val="0"/>
        <w:spacing w:line="360" w:lineRule="auto"/>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（3）当事人一方迟延履行债务或者有其他违约行为致使不能实现合同目的；</w:t>
      </w:r>
    </w:p>
    <w:p>
      <w:pPr>
        <w:pStyle w:val="7"/>
        <w:adjustRightInd w:val="0"/>
        <w:snapToGrid w:val="0"/>
        <w:spacing w:line="360" w:lineRule="auto"/>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（4）法律规定的其他情形。</w:t>
      </w:r>
    </w:p>
    <w:p>
      <w:pPr>
        <w:pStyle w:val="7"/>
        <w:adjustRightInd w:val="0"/>
        <w:snapToGrid w:val="0"/>
        <w:spacing w:line="360" w:lineRule="auto"/>
        <w:ind w:firstLine="477" w:firstLineChars="198"/>
        <w:rPr>
          <w:rFonts w:hint="eastAsia" w:ascii="仿宋" w:hAnsi="仿宋" w:eastAsia="仿宋" w:cs="仿宋"/>
          <w:b w:val="0"/>
          <w:bCs/>
          <w:color w:val="auto"/>
          <w:sz w:val="24"/>
          <w:highlight w:val="none"/>
        </w:rPr>
      </w:pPr>
      <w:r>
        <w:rPr>
          <w:rFonts w:hint="eastAsia" w:ascii="仿宋" w:hAnsi="仿宋" w:eastAsia="仿宋" w:cs="仿宋"/>
          <w:b/>
          <w:bCs w:val="0"/>
          <w:color w:val="auto"/>
          <w:sz w:val="24"/>
          <w:highlight w:val="none"/>
        </w:rPr>
        <w:t>5、解决争议的方法</w:t>
      </w:r>
    </w:p>
    <w:p>
      <w:pPr>
        <w:pStyle w:val="7"/>
        <w:adjustRightInd w:val="0"/>
        <w:snapToGrid w:val="0"/>
        <w:spacing w:line="360" w:lineRule="auto"/>
        <w:ind w:firstLine="480" w:firstLineChars="200"/>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5.1 因服务的质量问题发生争议，由第三方机构进行质量鉴定。服务质量符合标准的，鉴定费由采购人承担；服务质量不符合质量标准的，鉴定费由成交供应商承担。</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 xml:space="preserve">    5.2 合同履行期间，若双方发生争议，可协商或由有关部门调解解决，协商或调解不成的，向采购人所在地仲裁委员会申请仲裁或向采购人所在地人民法院起诉。</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 xml:space="preserve">  </w:t>
      </w:r>
      <w:r>
        <w:rPr>
          <w:rFonts w:hint="eastAsia" w:ascii="仿宋" w:hAnsi="仿宋" w:eastAsia="仿宋" w:cs="仿宋"/>
          <w:b/>
          <w:bCs w:val="0"/>
          <w:color w:val="auto"/>
          <w:sz w:val="24"/>
          <w:highlight w:val="none"/>
        </w:rPr>
        <w:t xml:space="preserve"> 6、验收方法和标准</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 xml:space="preserve">   6.1 验收标准：按国家有关规定以及采购文件的质量要求和技术指标、成交供应商的响应文件及承诺与本合同约定标准进行验收；采购人与成交供应商双方如对质量要求和技术指标的约定标准有相互抵触或异议的事项，由采购人在采购文件及响应文件中按质量要求和技术指标比较优胜的原则确定该项的约定标准进行验收。</w:t>
      </w:r>
    </w:p>
    <w:p>
      <w:pPr>
        <w:pStyle w:val="7"/>
        <w:adjustRightInd w:val="0"/>
        <w:snapToGrid w:val="0"/>
        <w:spacing w:line="360" w:lineRule="auto"/>
        <w:ind w:firstLine="360" w:firstLineChars="150"/>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6.2 其他未尽事宜按照《财政部关于进一步加强政府采购需求和履约验收管理的指导意见》(财库〔2016〕205 号)的要求进行验收。</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 xml:space="preserve">  </w:t>
      </w:r>
      <w:r>
        <w:rPr>
          <w:rFonts w:hint="eastAsia" w:ascii="仿宋" w:hAnsi="仿宋" w:eastAsia="仿宋" w:cs="仿宋"/>
          <w:b/>
          <w:bCs w:val="0"/>
          <w:color w:val="auto"/>
          <w:sz w:val="24"/>
          <w:highlight w:val="none"/>
        </w:rPr>
        <w:t xml:space="preserve"> 7、其他要求</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 xml:space="preserve">   7.1 采购合同签订时间：自成交通知书发出之日起，须按政府采购相关法律法规要求，在30 日内与采购人签订采购合同。</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 xml:space="preserve">   7.2 采购人将在合同签订前，与单位使用部门、纪检部门共同组成原件查验小组，查验成交供应商在响应文件中提供的证书、证件以及评分标准所涉及的相关材料的原件，若成交供应商未能在采购人规定的合理时间内完整提供所有相关材料，将被视为虚假响应，按有关规定进行处理。</w:t>
      </w:r>
    </w:p>
    <w:p>
      <w:pPr>
        <w:adjustRightInd w:val="0"/>
        <w:snapToGrid w:val="0"/>
        <w:spacing w:line="360" w:lineRule="auto"/>
        <w:ind w:firstLine="480" w:firstLineChars="200"/>
        <w:rPr>
          <w:rFonts w:hint="eastAsia" w:ascii="仿宋" w:hAnsi="仿宋" w:eastAsia="仿宋" w:cs="仿宋"/>
          <w:b w:val="0"/>
          <w:bCs/>
          <w:color w:val="auto"/>
          <w:sz w:val="24"/>
          <w:highlight w:val="none"/>
          <w:lang w:val="en-US" w:eastAsia="zh-CN"/>
        </w:rPr>
      </w:pPr>
      <w:r>
        <w:rPr>
          <w:rFonts w:hint="eastAsia" w:ascii="仿宋" w:hAnsi="仿宋" w:eastAsia="仿宋" w:cs="仿宋"/>
          <w:b w:val="0"/>
          <w:bCs/>
          <w:color w:val="auto"/>
          <w:sz w:val="24"/>
          <w:highlight w:val="none"/>
        </w:rPr>
        <w:t>7.3采购人定期核对成交供应商提供服务所配备的人员数量及相关信息，对于未按照采购文件要求及响应文件响应内容执行或存在不合理的部分有权下达整改通知书，并要求成交供应商限期整改，成交供应商拒不整改或整改落实不到位的，采购人有权无条件单方面解除采购合同。</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 xml:space="preserve">   7.4 成交供应商每月月末及时向采购人通告本项目本月服务范围内有关服务的重大事项及其进度，并根据采购人的要求执行项目履约，否则采购人有权无条件终止采购合同。</w:t>
      </w:r>
      <w:r>
        <w:rPr>
          <w:rFonts w:hint="eastAsia" w:ascii="仿宋" w:hAnsi="仿宋" w:eastAsia="仿宋" w:cs="仿宋"/>
          <w:b w:val="0"/>
          <w:bCs/>
          <w:color w:val="auto"/>
          <w:sz w:val="24"/>
          <w:highlight w:val="none"/>
        </w:rPr>
        <w:cr/>
      </w:r>
      <w:r>
        <w:rPr>
          <w:rFonts w:hint="eastAsia" w:ascii="仿宋" w:hAnsi="仿宋" w:eastAsia="仿宋" w:cs="仿宋"/>
          <w:b w:val="0"/>
          <w:bCs/>
          <w:color w:val="auto"/>
          <w:sz w:val="24"/>
          <w:highlight w:val="none"/>
        </w:rPr>
        <w:t xml:space="preserve">   7.5 接受项目行业管理部门及政府有关部门的指导，接受采购人的监督。</w:t>
      </w:r>
      <w:r>
        <w:rPr>
          <w:rFonts w:hint="eastAsia" w:ascii="仿宋" w:hAnsi="仿宋" w:eastAsia="仿宋" w:cs="仿宋"/>
          <w:b w:val="0"/>
          <w:bCs/>
          <w:color w:val="auto"/>
          <w:sz w:val="24"/>
          <w:highlight w:val="none"/>
        </w:rPr>
        <w:br w:type="textWrapping"/>
      </w:r>
      <w:r>
        <w:rPr>
          <w:rFonts w:hint="eastAsia" w:ascii="仿宋" w:hAnsi="仿宋" w:eastAsia="仿宋" w:cs="仿宋"/>
          <w:b w:val="0"/>
          <w:bCs/>
          <w:color w:val="auto"/>
          <w:sz w:val="24"/>
          <w:highlight w:val="none"/>
        </w:rPr>
        <w:t xml:space="preserve">  </w:t>
      </w:r>
      <w:r>
        <w:rPr>
          <w:rFonts w:hint="eastAsia" w:ascii="仿宋" w:hAnsi="仿宋" w:eastAsia="仿宋" w:cs="仿宋"/>
          <w:b w:val="0"/>
          <w:bCs/>
          <w:color w:val="auto"/>
          <w:sz w:val="24"/>
          <w:highlight w:val="none"/>
          <w:lang w:val="en-US" w:eastAsia="zh-CN"/>
        </w:rPr>
        <w:t xml:space="preserve">  </w:t>
      </w:r>
      <w:r>
        <w:rPr>
          <w:rFonts w:hint="eastAsia" w:ascii="仿宋" w:hAnsi="仿宋" w:eastAsia="仿宋" w:cs="仿宋"/>
          <w:b w:val="0"/>
          <w:bCs/>
          <w:color w:val="auto"/>
          <w:sz w:val="24"/>
          <w:highlight w:val="none"/>
        </w:rPr>
        <w:t>7.6供应商在项目履约过程中的安全保障义务由供应商承担全部责任（与采购人无关）</w:t>
      </w:r>
      <w:r>
        <w:rPr>
          <w:rFonts w:hint="eastAsia" w:ascii="仿宋" w:hAnsi="仿宋" w:eastAsia="仿宋" w:cs="仿宋"/>
          <w:b w:val="0"/>
          <w:bCs/>
          <w:color w:val="auto"/>
          <w:sz w:val="24"/>
          <w:highlight w:val="none"/>
          <w:lang w:eastAsia="zh-CN"/>
        </w:rPr>
        <w:t>。</w:t>
      </w:r>
    </w:p>
    <w:p>
      <w:pPr>
        <w:adjustRightInd w:val="0"/>
        <w:snapToGrid w:val="0"/>
        <w:spacing w:line="360" w:lineRule="auto"/>
        <w:ind w:firstLine="482" w:firstLineChars="200"/>
        <w:rPr>
          <w:rFonts w:hint="eastAsia" w:ascii="仿宋_GB2312" w:eastAsia="仿宋"/>
          <w:b/>
          <w:color w:val="auto"/>
          <w:sz w:val="24"/>
          <w:szCs w:val="22"/>
          <w:highlight w:val="none"/>
          <w:lang w:eastAsia="zh-CN"/>
        </w:rPr>
      </w:pPr>
      <w:r>
        <w:rPr>
          <w:rFonts w:hint="eastAsia" w:ascii="仿宋_GB2312" w:eastAsia="仿宋_GB2312"/>
          <w:b/>
          <w:color w:val="auto"/>
          <w:sz w:val="24"/>
          <w:szCs w:val="22"/>
          <w:highlight w:val="none"/>
        </w:rPr>
        <w:t>注：</w:t>
      </w:r>
      <w:r>
        <w:rPr>
          <w:rFonts w:hint="eastAsia" w:ascii="仿宋_GB2312" w:hAnsi="宋体" w:eastAsia="仿宋_GB2312" w:cs="宋体"/>
          <w:b/>
          <w:bCs w:val="0"/>
          <w:color w:val="auto"/>
          <w:sz w:val="24"/>
          <w:highlight w:val="none"/>
        </w:rPr>
        <w:t>以上</w:t>
      </w:r>
      <w:r>
        <w:rPr>
          <w:rFonts w:hint="eastAsia" w:ascii="仿宋_GB2312" w:hAnsi="宋体" w:eastAsia="仿宋_GB2312" w:cs="宋体"/>
          <w:b/>
          <w:bCs w:val="0"/>
          <w:color w:val="auto"/>
          <w:sz w:val="24"/>
          <w:highlight w:val="none"/>
          <w:lang w:eastAsia="zh-CN"/>
        </w:rPr>
        <w:t>带</w:t>
      </w:r>
      <w:r>
        <w:rPr>
          <w:rFonts w:hint="eastAsia" w:ascii="仿宋_GB2312" w:hAnsi="宋体" w:eastAsia="仿宋_GB2312" w:cs="宋体"/>
          <w:b/>
          <w:bCs w:val="0"/>
          <w:color w:val="auto"/>
          <w:sz w:val="24"/>
          <w:highlight w:val="none"/>
        </w:rPr>
        <w:t>“</w:t>
      </w:r>
      <w:r>
        <w:rPr>
          <w:rFonts w:hint="eastAsia" w:ascii="仿宋_GB2312" w:eastAsia="仿宋_GB2312"/>
          <w:color w:val="auto"/>
          <w:sz w:val="24"/>
          <w:szCs w:val="22"/>
          <w:highlight w:val="none"/>
        </w:rPr>
        <w:t>★</w:t>
      </w:r>
      <w:r>
        <w:rPr>
          <w:rFonts w:hint="eastAsia" w:ascii="仿宋_GB2312" w:hAnsi="宋体" w:eastAsia="仿宋_GB2312" w:cs="宋体"/>
          <w:b/>
          <w:bCs w:val="0"/>
          <w:color w:val="auto"/>
          <w:sz w:val="24"/>
          <w:highlight w:val="none"/>
        </w:rPr>
        <w:t>”条款</w:t>
      </w:r>
      <w:r>
        <w:rPr>
          <w:rFonts w:hint="eastAsia" w:ascii="仿宋_GB2312" w:eastAsia="仿宋_GB2312"/>
          <w:b/>
          <w:color w:val="auto"/>
          <w:sz w:val="24"/>
          <w:szCs w:val="22"/>
          <w:highlight w:val="none"/>
        </w:rPr>
        <w:t>为实质性要求</w:t>
      </w:r>
      <w:r>
        <w:rPr>
          <w:rFonts w:hint="eastAsia" w:ascii="仿宋_GB2312" w:eastAsia="仿宋_GB2312"/>
          <w:b/>
          <w:color w:val="auto"/>
          <w:sz w:val="24"/>
          <w:szCs w:val="22"/>
          <w:highlight w:val="none"/>
          <w:lang w:eastAsia="zh-CN"/>
        </w:rPr>
        <w:t>，</w:t>
      </w:r>
      <w:r>
        <w:rPr>
          <w:rFonts w:hint="eastAsia" w:ascii="仿宋" w:hAnsi="仿宋" w:eastAsia="仿宋" w:cs="宋体"/>
          <w:b/>
          <w:bCs/>
          <w:color w:val="auto"/>
          <w:kern w:val="0"/>
          <w:sz w:val="24"/>
          <w:szCs w:val="24"/>
          <w:highlight w:val="none"/>
        </w:rPr>
        <w:t>不允许负偏离，否则</w:t>
      </w:r>
      <w:r>
        <w:rPr>
          <w:rFonts w:hint="eastAsia" w:ascii="仿宋_GB2312" w:hAnsi="宋体" w:eastAsia="仿宋_GB2312" w:cs="宋体"/>
          <w:b/>
          <w:bCs w:val="0"/>
          <w:color w:val="auto"/>
          <w:sz w:val="24"/>
          <w:highlight w:val="none"/>
        </w:rPr>
        <w:t>作废标处理</w:t>
      </w:r>
      <w:r>
        <w:rPr>
          <w:rFonts w:hint="eastAsia" w:ascii="仿宋" w:hAnsi="仿宋" w:eastAsia="仿宋" w:cs="宋体"/>
          <w:b/>
          <w:bCs/>
          <w:color w:val="auto"/>
          <w:kern w:val="0"/>
          <w:sz w:val="24"/>
          <w:szCs w:val="24"/>
          <w:highlight w:val="none"/>
          <w:lang w:eastAsia="zh-CN"/>
        </w:rPr>
        <w:t>。</w:t>
      </w: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1"/>
      <w:numFmt w:val="decimal"/>
      <w:lvlText w:val="%1."/>
      <w:lvlJc w:val="left"/>
      <w:pPr>
        <w:tabs>
          <w:tab w:val="left" w:pos="312"/>
        </w:tabs>
      </w:pPr>
    </w:lvl>
  </w:abstractNum>
  <w:abstractNum w:abstractNumId="1">
    <w:nsid w:val="0000000A"/>
    <w:multiLevelType w:val="singleLevel"/>
    <w:tmpl w:val="0000000A"/>
    <w:lvl w:ilvl="0" w:tentative="0">
      <w:start w:val="1"/>
      <w:numFmt w:val="decimal"/>
      <w:lvlText w:val="%1."/>
      <w:lvlJc w:val="left"/>
      <w:pPr>
        <w:tabs>
          <w:tab w:val="left" w:pos="312"/>
        </w:tabs>
      </w:pPr>
    </w:lvl>
  </w:abstractNum>
  <w:abstractNum w:abstractNumId="2">
    <w:nsid w:val="0000000B"/>
    <w:multiLevelType w:val="singleLevel"/>
    <w:tmpl w:val="0000000B"/>
    <w:lvl w:ilvl="0" w:tentative="0">
      <w:start w:val="1"/>
      <w:numFmt w:val="decimal"/>
      <w:lvlText w:val="%1."/>
      <w:lvlJc w:val="left"/>
      <w:pPr>
        <w:tabs>
          <w:tab w:val="left" w:pos="312"/>
        </w:tabs>
      </w:pPr>
    </w:lvl>
  </w:abstractNum>
  <w:abstractNum w:abstractNumId="3">
    <w:nsid w:val="0000000C"/>
    <w:multiLevelType w:val="singleLevel"/>
    <w:tmpl w:val="0000000C"/>
    <w:lvl w:ilvl="0" w:tentative="0">
      <w:start w:val="1"/>
      <w:numFmt w:val="decimal"/>
      <w:lvlText w:val="%1."/>
      <w:lvlJc w:val="left"/>
      <w:pPr>
        <w:tabs>
          <w:tab w:val="left" w:pos="312"/>
        </w:tabs>
      </w:pPr>
    </w:lvl>
  </w:abstractNum>
  <w:abstractNum w:abstractNumId="4">
    <w:nsid w:val="0000000D"/>
    <w:multiLevelType w:val="singleLevel"/>
    <w:tmpl w:val="0000000D"/>
    <w:lvl w:ilvl="0" w:tentative="0">
      <w:start w:val="1"/>
      <w:numFmt w:val="decimal"/>
      <w:lvlText w:val="%1."/>
      <w:lvlJc w:val="left"/>
      <w:pPr>
        <w:tabs>
          <w:tab w:val="left" w:pos="312"/>
        </w:tabs>
      </w:pPr>
    </w:lvl>
  </w:abstractNum>
  <w:abstractNum w:abstractNumId="5">
    <w:nsid w:val="0000000E"/>
    <w:multiLevelType w:val="singleLevel"/>
    <w:tmpl w:val="0000000E"/>
    <w:lvl w:ilvl="0" w:tentative="0">
      <w:start w:val="1"/>
      <w:numFmt w:val="decimal"/>
      <w:lvlText w:val="%1."/>
      <w:lvlJc w:val="left"/>
      <w:pPr>
        <w:tabs>
          <w:tab w:val="left" w:pos="312"/>
        </w:tabs>
      </w:pPr>
    </w:lvl>
  </w:abstractNum>
  <w:abstractNum w:abstractNumId="6">
    <w:nsid w:val="0000000F"/>
    <w:multiLevelType w:val="singleLevel"/>
    <w:tmpl w:val="0000000F"/>
    <w:lvl w:ilvl="0" w:tentative="0">
      <w:start w:val="1"/>
      <w:numFmt w:val="decimal"/>
      <w:lvlText w:val="%1."/>
      <w:lvlJc w:val="left"/>
      <w:pPr>
        <w:tabs>
          <w:tab w:val="left" w:pos="312"/>
        </w:tabs>
      </w:pPr>
    </w:lvl>
  </w:abstractNum>
  <w:abstractNum w:abstractNumId="7">
    <w:nsid w:val="13F22FA0"/>
    <w:multiLevelType w:val="singleLevel"/>
    <w:tmpl w:val="13F22FA0"/>
    <w:lvl w:ilvl="0" w:tentative="0">
      <w:start w:val="1"/>
      <w:numFmt w:val="decimal"/>
      <w:lvlText w:val="%1."/>
      <w:lvlJc w:val="left"/>
      <w:pPr>
        <w:tabs>
          <w:tab w:val="left" w:pos="312"/>
        </w:tabs>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kNTNmODU4ODM3MjEyMzg5ZDIwYzIzYzhlOTRiYmYifQ=="/>
  </w:docVars>
  <w:rsids>
    <w:rsidRoot w:val="5202381D"/>
    <w:rsid w:val="520238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w:basedOn w:val="1"/>
    <w:next w:val="1"/>
    <w:uiPriority w:val="0"/>
    <w:pPr>
      <w:spacing w:after="120"/>
    </w:pPr>
    <w:rPr>
      <w:rFonts w:ascii="宋体" w:hAnsi="Times New Roman" w:eastAsia="宋体" w:cs="Times New Roman"/>
      <w:kern w:val="0"/>
      <w:sz w:val="34"/>
      <w:szCs w:val="22"/>
    </w:rPr>
  </w:style>
  <w:style w:type="paragraph" w:styleId="6">
    <w:name w:val="annotation text"/>
    <w:basedOn w:val="7"/>
    <w:uiPriority w:val="0"/>
    <w:pPr>
      <w:jc w:val="left"/>
    </w:pPr>
    <w:rPr>
      <w:rFonts w:ascii="Times New Roman" w:hAnsi="Times New Roman" w:eastAsia="宋体" w:cs="Times New Roman"/>
    </w:rPr>
  </w:style>
  <w:style w:type="paragraph" w:customStyle="1" w:styleId="7">
    <w:name w:val="正文_1"/>
    <w:qFormat/>
    <w:uiPriority w:val="0"/>
    <w:pPr>
      <w:widowControl w:val="0"/>
      <w:jc w:val="both"/>
    </w:pPr>
    <w:rPr>
      <w:rFonts w:ascii="Calibri" w:hAnsi="Calibri" w:eastAsia="宋体" w:cs="Times New Roman"/>
      <w:kern w:val="2"/>
      <w:sz w:val="21"/>
      <w:szCs w:val="22"/>
      <w:lang w:val="en-US" w:eastAsia="zh-CN" w:bidi="ar-SA"/>
    </w:rPr>
  </w:style>
  <w:style w:type="paragraph" w:styleId="8">
    <w:name w:val="Body Text First Indent"/>
    <w:basedOn w:val="9"/>
    <w:qFormat/>
    <w:uiPriority w:val="0"/>
    <w:pPr>
      <w:ind w:firstLine="420" w:firstLineChars="100"/>
    </w:pPr>
    <w:rPr>
      <w:rFonts w:hint="default" w:ascii="Times New Roman" w:hAnsi="Times New Roman" w:eastAsia="宋体" w:cs="Times New Roman"/>
      <w:sz w:val="21"/>
    </w:rPr>
  </w:style>
  <w:style w:type="paragraph" w:customStyle="1" w:styleId="9">
    <w:name w:val="正文_2"/>
    <w:qFormat/>
    <w:uiPriority w:val="0"/>
    <w:pPr>
      <w:widowControl w:val="0"/>
      <w:jc w:val="both"/>
    </w:pPr>
    <w:rPr>
      <w:rFonts w:ascii="Calibri" w:hAnsi="Calibri" w:eastAsia="宋体" w:cs="Times New Roman"/>
      <w:kern w:val="2"/>
      <w:sz w:val="21"/>
      <w:szCs w:val="22"/>
      <w:lang w:val="en-US" w:eastAsia="zh-CN" w:bidi="ar-SA"/>
    </w:rPr>
  </w:style>
  <w:style w:type="character" w:customStyle="1" w:styleId="12">
    <w:name w:val="font01"/>
    <w:basedOn w:val="11"/>
    <w:qFormat/>
    <w:uiPriority w:val="0"/>
    <w:rPr>
      <w:rFonts w:hint="eastAsia" w:ascii="宋体" w:hAnsi="宋体" w:eastAsia="宋体" w:cs="宋体"/>
      <w:color w:val="000000"/>
      <w:sz w:val="22"/>
      <w:szCs w:val="22"/>
      <w:u w:val="none"/>
    </w:rPr>
  </w:style>
  <w:style w:type="character" w:customStyle="1" w:styleId="13">
    <w:name w:val="font11"/>
    <w:qFormat/>
    <w:uiPriority w:val="0"/>
    <w:rPr>
      <w:rFonts w:hint="eastAsia" w:ascii="宋体" w:hAnsi="宋体" w:eastAsia="宋体" w:cs="宋体"/>
      <w:color w:val="000000"/>
      <w:sz w:val="20"/>
      <w:szCs w:val="20"/>
      <w:u w:val="none"/>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numbering" Target="numbering.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Office_11.1.0.11830_F1E327BC-269C-435d-A152-05C5408002CA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2022-07-26T09:17:00Z</dcterms:created>
  <dc:creator>阿清</dc:creator>
  <lastModifiedBy>阿清</lastModifiedBy>
  <dcterms:modified xsi:type="dcterms:W3CDTF">2022-07-26T09:24:06Z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CCA1E9B18DF94ADB9D07BB416422B81C</vt:lpwstr>
  </property>
</Properties>
</file>